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5F" w:rsidRPr="00164E01" w:rsidRDefault="00EC425F" w:rsidP="009A5B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</w:pPr>
      <w:r w:rsidRPr="00164E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  <w:t>ATKLĀT</w:t>
      </w:r>
      <w:r w:rsidR="00664399" w:rsidRPr="0024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  <w:t>AI</w:t>
      </w:r>
      <w:r w:rsidRPr="00244F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  <w:t xml:space="preserve">S </w:t>
      </w:r>
      <w:r w:rsidRPr="00164E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  <w:t>METU KONKURSS AR UZAICINĀT</w:t>
      </w:r>
      <w:r w:rsidR="00664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  <w:t>AJI</w:t>
      </w:r>
      <w:r w:rsidRPr="00164E0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lv-LV"/>
        </w:rPr>
        <w:t>EM DALĪBNIEKIEM</w:t>
      </w:r>
    </w:p>
    <w:p w:rsidR="00320083" w:rsidRPr="007937A5" w:rsidRDefault="007937A5" w:rsidP="007937A5">
      <w:pPr>
        <w:spacing w:after="0"/>
        <w:ind w:right="-908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937A5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“Latvijas simtgadei un Latvijas </w:t>
      </w:r>
      <w:r w:rsidR="00664399">
        <w:rPr>
          <w:rFonts w:ascii="Times New Roman" w:hAnsi="Times New Roman" w:cs="Times New Roman"/>
          <w:b/>
          <w:sz w:val="24"/>
          <w:szCs w:val="24"/>
          <w:lang w:val="lv-LV"/>
        </w:rPr>
        <w:t>v</w:t>
      </w:r>
      <w:r w:rsidRPr="007937A5">
        <w:rPr>
          <w:rFonts w:ascii="Times New Roman" w:hAnsi="Times New Roman" w:cs="Times New Roman"/>
          <w:b/>
          <w:sz w:val="24"/>
          <w:szCs w:val="24"/>
          <w:lang w:val="lv-LV"/>
        </w:rPr>
        <w:t>alsts tapšanai veltīta vides objekta</w:t>
      </w:r>
      <w:r w:rsidR="0066439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664399" w:rsidRPr="007937A5">
        <w:rPr>
          <w:rFonts w:ascii="Times New Roman" w:hAnsi="Times New Roman" w:cs="Times New Roman"/>
          <w:b/>
          <w:sz w:val="24"/>
          <w:szCs w:val="24"/>
          <w:lang w:val="lv-LV"/>
        </w:rPr>
        <w:t>izveide</w:t>
      </w:r>
      <w:r w:rsidR="0066439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Daugavpilī, Vienības dārzā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320083" w:rsidRPr="00164E01" w:rsidRDefault="00320083" w:rsidP="00EB3C81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20083" w:rsidRPr="003328F4" w:rsidRDefault="00320083" w:rsidP="00EB3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</w:p>
    <w:p w:rsidR="00AA4435" w:rsidRPr="003328F4" w:rsidRDefault="00AA4435" w:rsidP="00EB3C81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A4435" w:rsidRPr="00244F07" w:rsidRDefault="00244F07" w:rsidP="00EB3C8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KONKURSA MĒRĶIS, PRIEKŠMETS UN RĪKOTĀJI </w:t>
      </w:r>
    </w:p>
    <w:p w:rsidR="00EB3C81" w:rsidRPr="003328F4" w:rsidRDefault="00EB3C81" w:rsidP="00EB3C81">
      <w:pPr>
        <w:pStyle w:val="ListParagraph"/>
        <w:spacing w:after="0"/>
        <w:ind w:left="485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BD0B63" w:rsidRPr="003328F4" w:rsidRDefault="00C73781" w:rsidP="0029504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1.1. Konkursa</w:t>
      </w:r>
      <w:r w:rsidR="00E4518C" w:rsidRPr="00E4518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E4518C" w:rsidRPr="00E4518C">
        <w:rPr>
          <w:rFonts w:ascii="Times New Roman" w:hAnsi="Times New Roman" w:cs="Times New Roman"/>
          <w:sz w:val="24"/>
          <w:szCs w:val="24"/>
          <w:lang w:val="lv-LV"/>
        </w:rPr>
        <w:t>mērķis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328F4">
        <w:rPr>
          <w:rFonts w:ascii="Times New Roman" w:hAnsi="Times New Roman" w:cs="Times New Roman"/>
          <w:caps/>
          <w:sz w:val="24"/>
          <w:szCs w:val="24"/>
          <w:lang w:val="lv-LV"/>
        </w:rPr>
        <w:t xml:space="preserve"> </w:t>
      </w:r>
      <w:r w:rsidR="00E4518C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atrast iesp</w:t>
      </w:r>
      <w:r w:rsidR="005F67B1" w:rsidRPr="003328F4">
        <w:rPr>
          <w:rFonts w:ascii="Times New Roman" w:hAnsi="Times New Roman" w:cs="Times New Roman"/>
          <w:sz w:val="24"/>
          <w:szCs w:val="24"/>
          <w:lang w:val="lv-LV"/>
        </w:rPr>
        <w:t>ē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jami </w:t>
      </w:r>
      <w:r w:rsidR="005F67B1" w:rsidRPr="003328F4">
        <w:rPr>
          <w:rFonts w:ascii="Times New Roman" w:hAnsi="Times New Roman" w:cs="Times New Roman"/>
          <w:sz w:val="24"/>
          <w:szCs w:val="24"/>
          <w:lang w:val="lv-LV"/>
        </w:rPr>
        <w:t>la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bāko telpisku un māksliniecisk</w:t>
      </w:r>
      <w:r w:rsidR="00E40227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risinājumu Vienības dārzā  </w:t>
      </w:r>
      <w:r w:rsidR="00E40227">
        <w:rPr>
          <w:rFonts w:ascii="Times New Roman" w:hAnsi="Times New Roman" w:cs="Times New Roman"/>
          <w:sz w:val="24"/>
          <w:szCs w:val="24"/>
          <w:lang w:val="lv-LV"/>
        </w:rPr>
        <w:t>plānotajam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vides objektam, kas veltīts Latvijas valsts tapšanai un Latvijas simtgadei</w:t>
      </w:r>
      <w:r w:rsidR="005F67B1" w:rsidRPr="003328F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20083" w:rsidRPr="003328F4" w:rsidRDefault="00EC425F" w:rsidP="00EC42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1.2.</w:t>
      </w:r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priekšmets</w:t>
      </w:r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ir Latvijas </w:t>
      </w:r>
      <w:r w:rsidR="00E40227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>alsts</w:t>
      </w:r>
      <w:r w:rsidR="00C44091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tapšanas</w:t>
      </w:r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simtgadei veltīta </w:t>
      </w:r>
      <w:r w:rsidR="00A776AC">
        <w:rPr>
          <w:rFonts w:ascii="Times New Roman" w:hAnsi="Times New Roman" w:cs="Times New Roman"/>
          <w:sz w:val="24"/>
          <w:szCs w:val="24"/>
          <w:lang w:val="lv-LV"/>
        </w:rPr>
        <w:t>vides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objekta </w:t>
      </w:r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Daugavpilī, Vienības </w:t>
      </w:r>
      <w:r w:rsidR="00E4518C">
        <w:rPr>
          <w:rFonts w:ascii="Times New Roman" w:hAnsi="Times New Roman" w:cs="Times New Roman"/>
          <w:sz w:val="24"/>
          <w:szCs w:val="24"/>
          <w:lang w:val="lv-LV"/>
        </w:rPr>
        <w:t xml:space="preserve">dārzā (turpmāk - Objekts) </w:t>
      </w:r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telpiskā un </w:t>
      </w:r>
      <w:proofErr w:type="spellStart"/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>tēlnieciskā</w:t>
      </w:r>
      <w:proofErr w:type="spellEnd"/>
      <w:r w:rsidR="00320083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izveidojuma un teritorijas labiekārtojuma mets. </w:t>
      </w:r>
    </w:p>
    <w:p w:rsidR="00BD524F" w:rsidRPr="003328F4" w:rsidRDefault="00BD524F" w:rsidP="00EC425F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776AC">
        <w:rPr>
          <w:rFonts w:ascii="Times New Roman" w:hAnsi="Times New Roman" w:cs="Times New Roman"/>
          <w:sz w:val="24"/>
          <w:szCs w:val="24"/>
          <w:lang w:val="lv-LV"/>
        </w:rPr>
        <w:t>3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. Metu konkurss ir atklāts konkurss ar pieaicinātiem dalībniekiem vienā kārtā</w:t>
      </w:r>
      <w:r w:rsidR="00E4518C">
        <w:rPr>
          <w:rFonts w:ascii="Times New Roman" w:hAnsi="Times New Roman" w:cs="Times New Roman"/>
          <w:sz w:val="24"/>
          <w:szCs w:val="24"/>
          <w:lang w:val="lv-LV"/>
        </w:rPr>
        <w:t xml:space="preserve"> (turpmāk  – </w:t>
      </w:r>
      <w:r w:rsidR="00577136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onkurss</w:t>
      </w:r>
      <w:r w:rsidR="00E4518C"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:rsidR="00A776AC" w:rsidRDefault="00164E01" w:rsidP="00A776A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1.</w:t>
      </w:r>
      <w:r w:rsidR="00A776A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4</w:t>
      </w:r>
      <w:r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 Ko</w:t>
      </w:r>
      <w:r w:rsidR="00B77B19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nkursā iesniegtie meti tiek nodoti konkursa žūrijas </w:t>
      </w:r>
      <w:r w:rsidR="00A74A03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vērtējumam atbilstoši k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onkursa nolikuma </w:t>
      </w:r>
      <w:r w:rsidR="00852123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prasībām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A776AC" w:rsidRPr="00A776A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77B19" w:rsidRPr="003F60E4" w:rsidRDefault="00A776AC" w:rsidP="00EC425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1.</w:t>
      </w:r>
      <w:r>
        <w:rPr>
          <w:rFonts w:ascii="Times New Roman" w:hAnsi="Times New Roman" w:cs="Times New Roman"/>
          <w:sz w:val="24"/>
          <w:szCs w:val="24"/>
          <w:lang w:val="lv-LV"/>
        </w:rPr>
        <w:t>5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Konkursā iegūtais labākais mets var tikt ņemts par pamatu Vienības dārza labiekārtojuma būvprojekta izstrādei, bet konkursa uzvarētājs iegūst tiesības noslēgt līgumu par piedāvātā vides Objekta izveidi. </w:t>
      </w:r>
    </w:p>
    <w:p w:rsidR="00431AC9" w:rsidRPr="003328F4" w:rsidRDefault="00431AC9" w:rsidP="00EB3C8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B77B19" w:rsidRPr="003328F4">
        <w:rPr>
          <w:rFonts w:ascii="Times New Roman" w:hAnsi="Times New Roman" w:cs="Times New Roman"/>
          <w:sz w:val="24"/>
          <w:szCs w:val="24"/>
          <w:lang w:val="lv-LV"/>
        </w:rPr>
        <w:t>6. Konkursa rīkotā</w:t>
      </w:r>
      <w:r w:rsidR="00CB3BF6">
        <w:rPr>
          <w:rFonts w:ascii="Times New Roman" w:hAnsi="Times New Roman" w:cs="Times New Roman"/>
          <w:sz w:val="24"/>
          <w:szCs w:val="24"/>
          <w:lang w:val="lv-LV"/>
        </w:rPr>
        <w:t>js ir biedrība “Latvijai-</w:t>
      </w:r>
      <w:r w:rsidR="00E4518C">
        <w:rPr>
          <w:rFonts w:ascii="Times New Roman" w:hAnsi="Times New Roman" w:cs="Times New Roman"/>
          <w:sz w:val="24"/>
          <w:szCs w:val="24"/>
          <w:lang w:val="lv-LV"/>
        </w:rPr>
        <w:t>100” (turpmāk – konkursa rīkotājs)</w:t>
      </w:r>
    </w:p>
    <w:p w:rsidR="00431AC9" w:rsidRPr="003328F4" w:rsidRDefault="00431AC9" w:rsidP="00EB3C8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192"/>
      </w:tblGrid>
      <w:tr w:rsidR="003328F4" w:rsidRPr="003328F4" w:rsidTr="00813635">
        <w:tc>
          <w:tcPr>
            <w:tcW w:w="4104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Konkursa rīkotājs </w:t>
            </w:r>
          </w:p>
        </w:tc>
        <w:tc>
          <w:tcPr>
            <w:tcW w:w="4192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 „Latvijai-100”.</w:t>
            </w:r>
          </w:p>
        </w:tc>
      </w:tr>
      <w:tr w:rsidR="003328F4" w:rsidRPr="003328F4" w:rsidTr="00813635">
        <w:tc>
          <w:tcPr>
            <w:tcW w:w="4104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192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</w:t>
            </w:r>
            <w:proofErr w:type="spellEnd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Valdemāra ielā 1, Daugavpils. LV-5400</w:t>
            </w:r>
          </w:p>
        </w:tc>
      </w:tr>
      <w:tr w:rsidR="003328F4" w:rsidRPr="003328F4" w:rsidTr="00813635">
        <w:trPr>
          <w:trHeight w:val="330"/>
        </w:trPr>
        <w:tc>
          <w:tcPr>
            <w:tcW w:w="4104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Nr.</w:t>
            </w:r>
          </w:p>
        </w:tc>
        <w:tc>
          <w:tcPr>
            <w:tcW w:w="4192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4000821123</w:t>
            </w:r>
          </w:p>
        </w:tc>
      </w:tr>
      <w:tr w:rsidR="003328F4" w:rsidRPr="003328F4" w:rsidTr="00813635">
        <w:trPr>
          <w:trHeight w:val="210"/>
        </w:trPr>
        <w:tc>
          <w:tcPr>
            <w:tcW w:w="4104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Bankas rekvizīti </w:t>
            </w:r>
          </w:p>
        </w:tc>
        <w:tc>
          <w:tcPr>
            <w:tcW w:w="4192" w:type="dxa"/>
          </w:tcPr>
          <w:p w:rsidR="00B77B19" w:rsidRPr="003328F4" w:rsidRDefault="00B77B19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Swedbank, Kods HABALV22, Konts LV30HABA0551039011616</w:t>
            </w:r>
          </w:p>
        </w:tc>
      </w:tr>
      <w:tr w:rsidR="00B77B19" w:rsidRPr="00CB3BF6" w:rsidTr="00813635">
        <w:tc>
          <w:tcPr>
            <w:tcW w:w="4104" w:type="dxa"/>
          </w:tcPr>
          <w:p w:rsidR="00B77B19" w:rsidRPr="003328F4" w:rsidRDefault="00813635" w:rsidP="00EB3C8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Rīkotāja kontaktpersona</w:t>
            </w:r>
          </w:p>
        </w:tc>
        <w:tc>
          <w:tcPr>
            <w:tcW w:w="4192" w:type="dxa"/>
          </w:tcPr>
          <w:p w:rsidR="00B77B19" w:rsidRPr="003328F4" w:rsidRDefault="00813635" w:rsidP="00BE1F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Žūrijas komisijas atbildīgais sekretārs </w:t>
            </w:r>
            <w:r w:rsidR="00B82360" w:rsidRPr="00244F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Valentīna </w:t>
            </w:r>
            <w:proofErr w:type="spellStart"/>
            <w:r w:rsidR="00B82360" w:rsidRPr="00244F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Slavkovska</w:t>
            </w:r>
            <w:proofErr w:type="spellEnd"/>
            <w:r w:rsidRPr="00244F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BE1F0E" w:rsidRPr="00244F0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65424073, slavkovska@inbox.lv</w:t>
            </w:r>
          </w:p>
        </w:tc>
      </w:tr>
    </w:tbl>
    <w:p w:rsidR="00431AC9" w:rsidRPr="003328F4" w:rsidRDefault="00431AC9" w:rsidP="00EB3C8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D63B6" w:rsidRPr="003328F4" w:rsidRDefault="006D63B6" w:rsidP="00EB3C8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8914E2" w:rsidRPr="003328F4"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.Konkursa rīkotājs sedz izdevumu</w:t>
      </w:r>
      <w:r w:rsidR="00164E01" w:rsidRPr="003328F4">
        <w:rPr>
          <w:rFonts w:ascii="Times New Roman" w:hAnsi="Times New Roman" w:cs="Times New Roman"/>
          <w:sz w:val="24"/>
          <w:szCs w:val="24"/>
          <w:lang w:val="lv-LV"/>
        </w:rPr>
        <w:t>s, kas saistīti ar konkursa org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ani</w:t>
      </w:r>
      <w:r w:rsidR="00BE1F0E">
        <w:rPr>
          <w:rFonts w:ascii="Times New Roman" w:hAnsi="Times New Roman" w:cs="Times New Roman"/>
          <w:sz w:val="24"/>
          <w:szCs w:val="24"/>
          <w:lang w:val="lv-LV"/>
        </w:rPr>
        <w:t>zāciju, norises nodrošinājumu,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prēmiju izmaksu</w:t>
      </w:r>
      <w:r w:rsidR="00BE1F0E">
        <w:rPr>
          <w:rFonts w:ascii="Times New Roman" w:hAnsi="Times New Roman" w:cs="Times New Roman"/>
          <w:sz w:val="24"/>
          <w:szCs w:val="24"/>
          <w:lang w:val="lv-LV"/>
        </w:rPr>
        <w:t>, objekta tapšanu</w:t>
      </w:r>
      <w:r w:rsidR="007F7C5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D63B6" w:rsidRPr="003328F4" w:rsidRDefault="006D63B6" w:rsidP="00EB3C8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D63B6" w:rsidRPr="003328F4" w:rsidRDefault="006D63B6" w:rsidP="006D63B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 DALĪBNIEKI </w:t>
      </w:r>
    </w:p>
    <w:p w:rsidR="006D63B6" w:rsidRPr="003F60E4" w:rsidRDefault="00F21086" w:rsidP="006D63B6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Par k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onkursa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dalī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bniekiem var būt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f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iziskas un juridiskas personas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ar pieredzi telpisku un vides objektu iz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veidē, kuras ir izteikušas gribu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piedalīties konkursā, aizpildot reģistrācijas anketu, kas pie</w:t>
      </w:r>
      <w:r w:rsidR="00164E01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ejama Daugavpils pilsē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tas</w:t>
      </w:r>
      <w:r w:rsidR="003D2D4E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domes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mājas lapā www. daugavpils.lv</w:t>
      </w:r>
      <w:r w:rsidR="00A74A03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, un iesnieguši 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metu </w:t>
      </w:r>
      <w:r w:rsidR="00BE1F0E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konkursa </w:t>
      </w:r>
      <w:r w:rsidR="007F7C58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nolikumā noteiktajā</w:t>
      </w:r>
      <w:r w:rsidR="006D63B6" w:rsidRPr="003F60E4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kārtībā. </w:t>
      </w:r>
    </w:p>
    <w:p w:rsidR="00852123" w:rsidRPr="00244F07" w:rsidRDefault="00852123" w:rsidP="00852123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Konkursa dalībnieki ir uzaicinātās personas, kuras 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on</w:t>
      </w:r>
      <w:r w:rsidR="00E4518C" w:rsidRPr="00244F07">
        <w:rPr>
          <w:rFonts w:ascii="Times New Roman" w:hAnsi="Times New Roman" w:cs="Times New Roman"/>
          <w:sz w:val="24"/>
          <w:szCs w:val="24"/>
          <w:lang w:val="lv-LV"/>
        </w:rPr>
        <w:t>kursa r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īkotājs ir uzaicinājis piedalīties konkursā un kuras ir izteikušas gribu  piedalīties konkursā, parakstot līgumu par dalību konkursā, un iesnieg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>ušas k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onkursa metu atbilstoši nolikuma 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prasībām. Rīkotāja uzaicinātie pretendenti ir Ivars Mailītis, Romualds </w:t>
      </w:r>
      <w:proofErr w:type="spellStart"/>
      <w:r w:rsidR="00BE1F0E" w:rsidRPr="00244F07">
        <w:rPr>
          <w:rFonts w:ascii="Times New Roman" w:hAnsi="Times New Roman" w:cs="Times New Roman"/>
          <w:sz w:val="24"/>
          <w:szCs w:val="24"/>
          <w:lang w:val="lv-LV"/>
        </w:rPr>
        <w:t>G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ibovskis</w:t>
      </w:r>
      <w:proofErr w:type="spellEnd"/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, Gļebs </w:t>
      </w:r>
      <w:proofErr w:type="spellStart"/>
      <w:r w:rsidRPr="00244F07">
        <w:rPr>
          <w:rFonts w:ascii="Times New Roman" w:hAnsi="Times New Roman" w:cs="Times New Roman"/>
          <w:sz w:val="24"/>
          <w:szCs w:val="24"/>
          <w:lang w:val="lv-LV"/>
        </w:rPr>
        <w:t>Panteļ</w:t>
      </w:r>
      <w:r w:rsidR="00BE1F0E" w:rsidRPr="00244F07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jevs</w:t>
      </w:r>
      <w:proofErr w:type="spellEnd"/>
      <w:r w:rsidRPr="00244F0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64F98" w:rsidRDefault="00852123" w:rsidP="00C4035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52123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6D63B6" w:rsidRPr="0085212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74A03">
        <w:rPr>
          <w:rFonts w:ascii="Times New Roman" w:hAnsi="Times New Roman" w:cs="Times New Roman"/>
          <w:sz w:val="24"/>
          <w:szCs w:val="24"/>
          <w:lang w:val="lv-LV"/>
        </w:rPr>
        <w:t>Konkursa dalībnieks ir atbildīgs par to, lai mets  būtu izstrādāts</w:t>
      </w:r>
      <w:r w:rsidR="00664F98" w:rsidRPr="00852123">
        <w:rPr>
          <w:rFonts w:ascii="Times New Roman" w:hAnsi="Times New Roman" w:cs="Times New Roman"/>
          <w:sz w:val="24"/>
          <w:szCs w:val="24"/>
          <w:lang w:val="lv-LV"/>
        </w:rPr>
        <w:t xml:space="preserve"> saskaņā ar </w:t>
      </w:r>
      <w:r w:rsidR="00A74A03">
        <w:rPr>
          <w:rFonts w:ascii="Times New Roman" w:hAnsi="Times New Roman" w:cs="Times New Roman"/>
          <w:sz w:val="24"/>
          <w:szCs w:val="24"/>
          <w:lang w:val="lv-LV"/>
        </w:rPr>
        <w:t>konkursa nolikuma prasībām un konkursa nolikuma noteiktajā termiņā.</w:t>
      </w:r>
    </w:p>
    <w:p w:rsidR="00C40355" w:rsidRPr="00C40355" w:rsidRDefault="00C40355" w:rsidP="00C4035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A5B2A" w:rsidRPr="003328F4" w:rsidRDefault="009A5B2A" w:rsidP="00664F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 UZDEVUMI </w:t>
      </w:r>
    </w:p>
    <w:p w:rsidR="009A5B2A" w:rsidRPr="003328F4" w:rsidRDefault="009A5B2A" w:rsidP="0097462D">
      <w:pPr>
        <w:pStyle w:val="ListParagraph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Vides objektam jābūt unikālam, laikmetīgam</w:t>
      </w:r>
      <w:r w:rsidR="00BE1F0E">
        <w:rPr>
          <w:rFonts w:ascii="Times New Roman" w:hAnsi="Times New Roman" w:cs="Times New Roman"/>
          <w:sz w:val="24"/>
          <w:szCs w:val="24"/>
          <w:lang w:val="lv-LV"/>
        </w:rPr>
        <w:t>, mākslinieciski augstvērtīgam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, pilsētas kopējo tēlu bagātinošam.</w:t>
      </w:r>
    </w:p>
    <w:p w:rsidR="009A5B2A" w:rsidRPr="003328F4" w:rsidRDefault="009A5B2A" w:rsidP="0097462D">
      <w:pPr>
        <w:pStyle w:val="ListParagraph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Objektam </w:t>
      </w:r>
      <w:proofErr w:type="spellStart"/>
      <w:r w:rsidRPr="003328F4">
        <w:rPr>
          <w:rFonts w:ascii="Times New Roman" w:hAnsi="Times New Roman" w:cs="Times New Roman"/>
          <w:sz w:val="24"/>
          <w:szCs w:val="24"/>
          <w:lang w:val="lv-LV"/>
        </w:rPr>
        <w:t>kompozicionāli</w:t>
      </w:r>
      <w:proofErr w:type="spellEnd"/>
      <w:r w:rsidR="00CB3BF6">
        <w:rPr>
          <w:rFonts w:ascii="Times New Roman" w:hAnsi="Times New Roman" w:cs="Times New Roman"/>
          <w:sz w:val="24"/>
          <w:szCs w:val="24"/>
          <w:lang w:val="lv-LV"/>
        </w:rPr>
        <w:t xml:space="preserve"> un funkcionāli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jāiekļaujas esošajā pilsētvidē un ainavā. Veidojot Objektu jāņem vērā, ka tuvumā atrodas valsts aizsardzībā esošs valsts nozīmes pilsētbūvniecības piemineklis „Daugavpils pilsētas vēsturiskais c</w:t>
      </w:r>
      <w:r w:rsidR="009C7912" w:rsidRPr="003328F4">
        <w:rPr>
          <w:rFonts w:ascii="Times New Roman" w:hAnsi="Times New Roman" w:cs="Times New Roman"/>
          <w:sz w:val="24"/>
          <w:szCs w:val="24"/>
          <w:lang w:val="lv-LV"/>
        </w:rPr>
        <w:t>entrs” (valsts aizsardzības Nr. 7429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)  un valsts aizsardzībā esošs vietējas nozīmes kultūras piemineklis Ugunsdzēsēju depo (valsts aizsardzības Nr. </w:t>
      </w:r>
      <w:r w:rsidR="009C7912" w:rsidRPr="003328F4">
        <w:rPr>
          <w:rFonts w:ascii="Times New Roman" w:hAnsi="Times New Roman" w:cs="Times New Roman"/>
          <w:sz w:val="24"/>
          <w:szCs w:val="24"/>
          <w:lang w:val="lv-LV"/>
        </w:rPr>
        <w:t>4796)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A5B2A" w:rsidRPr="003328F4" w:rsidRDefault="009A5B2A" w:rsidP="0097462D">
      <w:pPr>
        <w:pStyle w:val="ListParagraph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Jāizstrādā priekšlikumi apgaismojuma koncepcijai</w:t>
      </w:r>
      <w:r w:rsidR="0072640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6400" w:rsidRPr="00244F07">
        <w:rPr>
          <w:rFonts w:ascii="Times New Roman" w:hAnsi="Times New Roman" w:cs="Times New Roman"/>
          <w:sz w:val="24"/>
          <w:szCs w:val="24"/>
          <w:lang w:val="lv-LV"/>
        </w:rPr>
        <w:t>tumšajā diennakts laikā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A5B2A" w:rsidRPr="003328F4" w:rsidRDefault="009A5B2A" w:rsidP="0097462D">
      <w:pPr>
        <w:pStyle w:val="ListParagraph"/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Objekts jāparedz no </w:t>
      </w:r>
      <w:proofErr w:type="spellStart"/>
      <w:r w:rsidRPr="003328F4">
        <w:rPr>
          <w:rFonts w:ascii="Times New Roman" w:hAnsi="Times New Roman" w:cs="Times New Roman"/>
          <w:sz w:val="24"/>
          <w:szCs w:val="24"/>
          <w:lang w:val="lv-LV"/>
        </w:rPr>
        <w:t>ārtelpā</w:t>
      </w:r>
      <w:proofErr w:type="spellEnd"/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piemērotiem, ekspluatācijā viegli uzturamiem un kopjamiem materiāliem. Objektu veidot pret vandālismu noturīgu.</w:t>
      </w:r>
    </w:p>
    <w:p w:rsidR="009A5B2A" w:rsidRDefault="009A5B2A" w:rsidP="0097462D">
      <w:pPr>
        <w:pStyle w:val="ListParagraph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Jāpiedāvā labiekārtojuma koncepcija Vienības dārzam, kas būtu vienota ar projektējamo vides objektu</w:t>
      </w:r>
      <w:r w:rsidR="00726400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un apkārtējo vidi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26400" w:rsidRPr="00244F07" w:rsidRDefault="00804104" w:rsidP="0097462D">
      <w:pPr>
        <w:pStyle w:val="ListParagraph"/>
        <w:numPr>
          <w:ilvl w:val="1"/>
          <w:numId w:val="4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Jānorada </w:t>
      </w:r>
      <w:r w:rsidR="00726400" w:rsidRPr="00244F07">
        <w:rPr>
          <w:rFonts w:ascii="Times New Roman" w:hAnsi="Times New Roman" w:cs="Times New Roman"/>
          <w:sz w:val="24"/>
          <w:szCs w:val="24"/>
          <w:lang w:val="lv-LV"/>
        </w:rPr>
        <w:t>vides Objekta realizācijas aptuvenas izmaksas.</w:t>
      </w:r>
    </w:p>
    <w:p w:rsidR="005307C5" w:rsidRPr="003328F4" w:rsidRDefault="005307C5" w:rsidP="00664F98">
      <w:pPr>
        <w:pStyle w:val="ListParagraph"/>
        <w:spacing w:after="0"/>
        <w:ind w:left="485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307C5" w:rsidRPr="003328F4" w:rsidRDefault="005307C5" w:rsidP="005307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 ŽŪRIJA, VĒRTĒŠANAS KRITĒRIJI </w:t>
      </w:r>
    </w:p>
    <w:p w:rsidR="005307C5" w:rsidRPr="003328F4" w:rsidRDefault="005307C5" w:rsidP="005307C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 </w:t>
      </w:r>
      <w:r w:rsidR="00A74A03">
        <w:rPr>
          <w:rFonts w:ascii="Times New Roman" w:hAnsi="Times New Roman" w:cs="Times New Roman"/>
          <w:sz w:val="24"/>
          <w:szCs w:val="24"/>
          <w:lang w:val="lv-LV"/>
        </w:rPr>
        <w:t>žūrijas komisiju ieceļ konkursa rīkotājs.</w:t>
      </w:r>
    </w:p>
    <w:p w:rsidR="005307C5" w:rsidRPr="00244F07" w:rsidRDefault="00164E01" w:rsidP="00A6486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4F07">
        <w:rPr>
          <w:rFonts w:ascii="Times New Roman" w:hAnsi="Times New Roman" w:cs="Times New Roman"/>
          <w:sz w:val="24"/>
          <w:szCs w:val="24"/>
          <w:lang w:val="lv-LV"/>
        </w:rPr>
        <w:t>Žūrija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>s komisija izskata visus metus, kas atbilst k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onkursa 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>nolikuma prasībām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>. Žūrijas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komisijas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lēmums ir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galīgs. Ja konkursa dalībnieks nav izpildījis kādu no konkursa nolikuma prasībām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>, žūrija</w:t>
      </w:r>
      <w:r w:rsidR="00A74A03" w:rsidRPr="00244F07">
        <w:rPr>
          <w:rFonts w:ascii="Times New Roman" w:hAnsi="Times New Roman" w:cs="Times New Roman"/>
          <w:sz w:val="24"/>
          <w:szCs w:val="24"/>
          <w:lang w:val="lv-LV"/>
        </w:rPr>
        <w:t>s komisija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var lemt par 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šī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44F07">
        <w:rPr>
          <w:rFonts w:ascii="Times New Roman" w:hAnsi="Times New Roman" w:cs="Times New Roman"/>
          <w:sz w:val="24"/>
          <w:szCs w:val="24"/>
          <w:lang w:val="lv-LV"/>
        </w:rPr>
        <w:t>dalībnieka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E2CC9" w:rsidRPr="00244F07">
        <w:rPr>
          <w:rFonts w:ascii="Times New Roman" w:hAnsi="Times New Roman" w:cs="Times New Roman"/>
          <w:sz w:val="24"/>
          <w:szCs w:val="24"/>
          <w:lang w:val="lv-LV"/>
        </w:rPr>
        <w:t>izslēgšanu no konkursa</w:t>
      </w:r>
      <w:r w:rsidR="005307C5" w:rsidRPr="00244F0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5307C5" w:rsidRPr="00244F07" w:rsidRDefault="005307C5" w:rsidP="00314C2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44F07">
        <w:rPr>
          <w:rFonts w:ascii="Times New Roman" w:hAnsi="Times New Roman" w:cs="Times New Roman"/>
          <w:sz w:val="24"/>
          <w:szCs w:val="24"/>
          <w:lang w:val="lv-LV"/>
        </w:rPr>
        <w:t xml:space="preserve">Konkursam iesniegto priekšlikumus vērtē žūrija sekojošā sastāvā: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832"/>
      </w:tblGrid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priekšsēdētājs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Jānis </w:t>
            </w: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Dukšinskis</w:t>
            </w:r>
            <w:proofErr w:type="spellEnd"/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pilsētas domes priekšsēdētāja 1. vietnieks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priekšsēdētāja vietniece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Inga </w:t>
            </w: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Goldberga</w:t>
            </w:r>
            <w:proofErr w:type="spellEnd"/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pilsētas domes izpilddirektore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Vanda </w:t>
            </w: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Kezika</w:t>
            </w:r>
            <w:proofErr w:type="spellEnd"/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novada pašvaldības izpilddirektore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Genovefa</w:t>
            </w:r>
            <w:proofErr w:type="spellEnd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Barkovska</w:t>
            </w:r>
            <w:proofErr w:type="spellEnd"/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biedrības „Latvijai -100” priekšsēdētāja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Inga Ancāne</w:t>
            </w:r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pilsētas galvenā arhitekte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Nansija Tamane</w:t>
            </w:r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novada galvenā arhitekte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Juris Pundurs</w:t>
            </w:r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pilsētas galvenais mākslinieks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Anna Semjonova</w:t>
            </w:r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domes ainavu arhitekte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Silva Veronika </w:t>
            </w:r>
            <w:proofErr w:type="spellStart"/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Linarte</w:t>
            </w:r>
            <w:proofErr w:type="spellEnd"/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māksliniece, Daugavpils pilsētas goda pilsone</w:t>
            </w:r>
          </w:p>
        </w:tc>
      </w:tr>
      <w:tr w:rsidR="003328F4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Inguna Kokina</w:t>
            </w:r>
          </w:p>
        </w:tc>
        <w:tc>
          <w:tcPr>
            <w:tcW w:w="283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arhitekte, Daugavpils Dizaina un mākslas </w:t>
            </w: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vidusskolas „Saules skola” direktore</w:t>
            </w:r>
          </w:p>
        </w:tc>
      </w:tr>
      <w:tr w:rsidR="006545EF" w:rsidRPr="003328F4" w:rsidTr="006545EF">
        <w:tc>
          <w:tcPr>
            <w:tcW w:w="562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Žūrijas komisijas loceklis</w:t>
            </w:r>
          </w:p>
        </w:tc>
        <w:tc>
          <w:tcPr>
            <w:tcW w:w="1984" w:type="dxa"/>
          </w:tcPr>
          <w:p w:rsidR="006545EF" w:rsidRPr="003328F4" w:rsidRDefault="006545EF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4">
              <w:rPr>
                <w:rFonts w:ascii="Times New Roman" w:hAnsi="Times New Roman" w:cs="Times New Roman"/>
                <w:sz w:val="24"/>
                <w:szCs w:val="24"/>
              </w:rPr>
              <w:t xml:space="preserve">Ivo </w:t>
            </w:r>
            <w:r w:rsidRPr="003328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Folkmanis</w:t>
            </w:r>
          </w:p>
        </w:tc>
        <w:tc>
          <w:tcPr>
            <w:tcW w:w="2832" w:type="dxa"/>
          </w:tcPr>
          <w:p w:rsidR="006545EF" w:rsidRPr="003328F4" w:rsidRDefault="008778C8" w:rsidP="00654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mākslinieks</w:t>
            </w:r>
          </w:p>
        </w:tc>
      </w:tr>
    </w:tbl>
    <w:p w:rsidR="006D63B6" w:rsidRPr="003328F4" w:rsidRDefault="006D63B6" w:rsidP="00EB3C81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3EDA" w:rsidRPr="003328F4" w:rsidRDefault="00073EDA" w:rsidP="0097462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Žūrijas komisijas s</w:t>
      </w:r>
      <w:r w:rsidR="00A74A03">
        <w:rPr>
          <w:rFonts w:ascii="Times New Roman" w:hAnsi="Times New Roman" w:cs="Times New Roman"/>
          <w:sz w:val="24"/>
          <w:szCs w:val="24"/>
          <w:lang w:val="lv-LV"/>
        </w:rPr>
        <w:t>astāvu var mainīt tikai konkursa rīkotājs, par to informējot dalībniekus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73EDA" w:rsidRPr="003328F4" w:rsidRDefault="00073EDA" w:rsidP="0097462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Žūrijas komisijas locekļiem un atbildīgajam sekretāram nav tiesību būt par konkursa 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>dalībniekiem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. Ko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>nkursa priekšlikumu vērtēšanai ž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ūrijas komisija ir tiesīga pēc saviem ieskatiem pieaicināt speciālistus vai ekspertus ar padomdevēja tiesībām.</w:t>
      </w:r>
    </w:p>
    <w:p w:rsidR="00DD1453" w:rsidRPr="003328F4" w:rsidRDefault="00DD1453" w:rsidP="0097462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Žūrijas komisijas atbildīgais sekretārs nodrošina:</w:t>
      </w:r>
    </w:p>
    <w:p w:rsidR="00DD1453" w:rsidRPr="003328F4" w:rsidRDefault="00DD1453" w:rsidP="0097462D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konkursa procedūras norisi un dokumentēšanu atbilstoši Latvijas Republikā spēkā esošajiem normatīvajiem aktiem</w:t>
      </w:r>
      <w:r w:rsidR="0097462D" w:rsidRPr="003328F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DD1453" w:rsidRPr="003328F4" w:rsidRDefault="00DD1453" w:rsidP="0097462D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atbi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>ldes un informācijas sniegšanu n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olikumā noteiktajā kārtībā un termiņā pēc dalībnieka laikus iesniegta rakstiskā pieprasījuma (pa pastu, e-pastu vai faksu).</w:t>
      </w:r>
    </w:p>
    <w:p w:rsidR="006D63B6" w:rsidRPr="003328F4" w:rsidRDefault="005307C5" w:rsidP="005307C5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Vē</w:t>
      </w:r>
      <w:r w:rsidR="00164E01" w:rsidRPr="003328F4">
        <w:rPr>
          <w:rFonts w:ascii="Times New Roman" w:hAnsi="Times New Roman" w:cs="Times New Roman"/>
          <w:sz w:val="24"/>
          <w:szCs w:val="24"/>
          <w:lang w:val="lv-LV"/>
        </w:rPr>
        <w:t>r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tēšanas kritēriji </w:t>
      </w:r>
    </w:p>
    <w:p w:rsidR="00E5155E" w:rsidRPr="003328F4" w:rsidRDefault="00E5155E" w:rsidP="0097462D">
      <w:pPr>
        <w:pStyle w:val="pumpas1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Žūrija</w:t>
      </w:r>
      <w:r w:rsidR="00C831B2">
        <w:rPr>
          <w:sz w:val="24"/>
          <w:szCs w:val="24"/>
          <w:lang w:val="lv-LV"/>
        </w:rPr>
        <w:t>s komisija vērtē iesniegtos m</w:t>
      </w:r>
      <w:r w:rsidRPr="003328F4">
        <w:rPr>
          <w:sz w:val="24"/>
          <w:szCs w:val="24"/>
          <w:lang w:val="lv-LV"/>
        </w:rPr>
        <w:t>etus atbilstoši nolikumā noteiktajiem meta vērtēšanas kritērijiem.</w:t>
      </w:r>
    </w:p>
    <w:p w:rsidR="00E5155E" w:rsidRPr="003328F4" w:rsidRDefault="00E5155E" w:rsidP="0097462D">
      <w:pPr>
        <w:pStyle w:val="pumpas1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Vērtēšanas kritēriji ir šādi:</w:t>
      </w:r>
    </w:p>
    <w:p w:rsidR="00E5155E" w:rsidRPr="003328F4" w:rsidRDefault="00E5155E" w:rsidP="00E5155E">
      <w:pPr>
        <w:pStyle w:val="pumpas1"/>
        <w:numPr>
          <w:ilvl w:val="0"/>
          <w:numId w:val="0"/>
        </w:numPr>
        <w:ind w:left="485"/>
        <w:jc w:val="both"/>
        <w:rPr>
          <w:sz w:val="24"/>
          <w:szCs w:val="24"/>
          <w:lang w:val="lv-LV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76"/>
        <w:gridCol w:w="6126"/>
        <w:gridCol w:w="1760"/>
      </w:tblGrid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Punktu skaits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 xml:space="preserve">1. 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 xml:space="preserve">Mākslinieciskā kvalitāte un </w:t>
            </w:r>
            <w:proofErr w:type="spellStart"/>
            <w:r w:rsidRPr="003328F4">
              <w:rPr>
                <w:b/>
                <w:sz w:val="24"/>
                <w:szCs w:val="24"/>
                <w:lang w:val="lv-LV"/>
              </w:rPr>
              <w:t>tēlnieciskie</w:t>
            </w:r>
            <w:proofErr w:type="spellEnd"/>
            <w:r w:rsidRPr="003328F4">
              <w:rPr>
                <w:b/>
                <w:sz w:val="24"/>
                <w:szCs w:val="24"/>
                <w:lang w:val="lv-LV"/>
              </w:rPr>
              <w:t xml:space="preserve"> risinājumi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40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1.1.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Idejas oriģinalitāte un mūsdienīgums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Atbilstība konkursa mērķim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 xml:space="preserve">Vizuāli plastiskais risinājums </w:t>
            </w:r>
          </w:p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i/>
                <w:sz w:val="24"/>
                <w:szCs w:val="24"/>
                <w:lang w:val="lv-LV"/>
              </w:rPr>
            </w:pPr>
            <w:r w:rsidRPr="003328F4">
              <w:rPr>
                <w:i/>
                <w:sz w:val="24"/>
                <w:szCs w:val="24"/>
                <w:lang w:val="lv-LV"/>
              </w:rPr>
              <w:t>(Objektam jābūt augstvērtīgam, izteiksmīgam, pilsētas kopējo tēlu bagātinošām)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1.4.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Objekta izskats un izteiksmīgums diennakts tumšajā laikā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Pilsētvides risinājumi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20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Vides objekta un skvēra labiekārtojuma risinājuma saderība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Skvēra funkcionalitāte</w:t>
            </w:r>
          </w:p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i/>
                <w:sz w:val="24"/>
                <w:szCs w:val="24"/>
                <w:lang w:val="lv-LV"/>
              </w:rPr>
            </w:pPr>
            <w:r w:rsidRPr="003328F4">
              <w:rPr>
                <w:i/>
                <w:sz w:val="24"/>
                <w:szCs w:val="24"/>
                <w:lang w:val="lv-LV"/>
              </w:rPr>
              <w:t>(</w:t>
            </w:r>
            <w:proofErr w:type="spellStart"/>
            <w:r w:rsidRPr="003328F4">
              <w:rPr>
                <w:i/>
                <w:sz w:val="24"/>
                <w:szCs w:val="24"/>
                <w:lang w:val="lv-LV"/>
              </w:rPr>
              <w:t>pārredzamība</w:t>
            </w:r>
            <w:proofErr w:type="spellEnd"/>
            <w:r w:rsidRPr="003328F4">
              <w:rPr>
                <w:i/>
                <w:sz w:val="24"/>
                <w:szCs w:val="24"/>
                <w:lang w:val="lv-LV"/>
              </w:rPr>
              <w:t xml:space="preserve"> un galvenie skatu punkti, gājēju plūsmas)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Tehniskais un ekonomiskais risinājums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Izvēlēto materiālu ilgmūžība un izturība, noturība pret vandālismu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sz w:val="24"/>
                <w:szCs w:val="24"/>
                <w:lang w:val="lv-LV"/>
              </w:rPr>
            </w:pPr>
            <w:r w:rsidRPr="003328F4">
              <w:rPr>
                <w:sz w:val="24"/>
                <w:szCs w:val="24"/>
                <w:lang w:val="lv-LV"/>
              </w:rPr>
              <w:t>10</w:t>
            </w:r>
          </w:p>
        </w:tc>
      </w:tr>
      <w:tr w:rsidR="003328F4" w:rsidRPr="003328F4" w:rsidTr="00881D5D">
        <w:tc>
          <w:tcPr>
            <w:tcW w:w="576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6289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right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1792" w:type="dxa"/>
          </w:tcPr>
          <w:p w:rsidR="00E5155E" w:rsidRPr="003328F4" w:rsidRDefault="00E5155E" w:rsidP="00881D5D">
            <w:pPr>
              <w:pStyle w:val="pumpas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v-LV"/>
              </w:rPr>
            </w:pPr>
            <w:r w:rsidRPr="003328F4">
              <w:rPr>
                <w:b/>
                <w:sz w:val="24"/>
                <w:szCs w:val="24"/>
                <w:lang w:val="lv-LV"/>
              </w:rPr>
              <w:t>70</w:t>
            </w:r>
          </w:p>
        </w:tc>
      </w:tr>
    </w:tbl>
    <w:p w:rsidR="00E5155E" w:rsidRPr="003328F4" w:rsidRDefault="00E5155E" w:rsidP="00E5155E">
      <w:pPr>
        <w:pStyle w:val="pumpas1"/>
        <w:numPr>
          <w:ilvl w:val="0"/>
          <w:numId w:val="0"/>
        </w:numPr>
        <w:ind w:left="360" w:hanging="360"/>
        <w:jc w:val="both"/>
        <w:rPr>
          <w:sz w:val="24"/>
          <w:szCs w:val="24"/>
        </w:rPr>
      </w:pPr>
    </w:p>
    <w:p w:rsidR="005307C5" w:rsidRPr="003328F4" w:rsidRDefault="00524BF4" w:rsidP="0097462D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Lēmumu par konkursa rezultātiem žūrijas komisija var pieņemt, ja tās sēdē piedalās 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>ne mazāk kā divas trešdaļas no ž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ūrijas komisijas locekļiem.</w:t>
      </w:r>
    </w:p>
    <w:p w:rsidR="00524BF4" w:rsidRPr="003328F4" w:rsidRDefault="00524BF4" w:rsidP="0097462D">
      <w:pPr>
        <w:pStyle w:val="ListParagraph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Žūrijas komisija lēmumu pieņem atklātā balsojumā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 xml:space="preserve"> un nosaka uzvarētāju. Lēmumus ž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ūrijas komisija pieņem ar vie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>nkāršu balsu vairākumu. Katram ž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ūrijas komisijas loceklim ir viena balss. Ja balsu skaits</w:t>
      </w:r>
      <w:r w:rsidR="00C831B2">
        <w:rPr>
          <w:rFonts w:ascii="Times New Roman" w:hAnsi="Times New Roman" w:cs="Times New Roman"/>
          <w:sz w:val="24"/>
          <w:szCs w:val="24"/>
          <w:lang w:val="lv-LV"/>
        </w:rPr>
        <w:t xml:space="preserve"> sadalās vienādi, izšķirošā ir ž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ūrijas komisijas priek</w:t>
      </w:r>
      <w:r w:rsidR="00CD6759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šsēdētāja balss. </w:t>
      </w:r>
    </w:p>
    <w:p w:rsidR="00524BF4" w:rsidRPr="003328F4" w:rsidRDefault="00524BF4" w:rsidP="005307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73781" w:rsidRPr="003328F4" w:rsidRDefault="00C73781" w:rsidP="00C7378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KONKURSAM IESNIEDZAMIE MATERIĀLI UN NOFORMĒJUMS </w:t>
      </w:r>
    </w:p>
    <w:p w:rsidR="00E5155E" w:rsidRPr="003328F4" w:rsidRDefault="00E5155E" w:rsidP="00C06470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eastAsia="Times New Roman" w:hAnsi="Times New Roman" w:cs="Times New Roman"/>
          <w:sz w:val="24"/>
          <w:szCs w:val="24"/>
          <w:lang w:val="lv-LV"/>
        </w:rPr>
        <w:t>Paskaidrojuma raksts latviešu valodā - īss objekta apraksts (ne vairāk kā 2 lpp. A4 formātā), kas ietver šādu informāciju:</w:t>
      </w:r>
    </w:p>
    <w:p w:rsidR="00E5155E" w:rsidRPr="003328F4" w:rsidRDefault="00E5155E" w:rsidP="007F5138">
      <w:pPr>
        <w:pStyle w:val="pumpas1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lastRenderedPageBreak/>
        <w:t xml:space="preserve">vides objekta koncepcijas apraksts; </w:t>
      </w:r>
    </w:p>
    <w:p w:rsidR="00E5155E" w:rsidRPr="003328F4" w:rsidRDefault="00E5155E" w:rsidP="007F5138">
      <w:pPr>
        <w:pStyle w:val="pumpas1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 xml:space="preserve">vienības dārza labiekārtojuma risinājuma apraksts un skice; </w:t>
      </w:r>
    </w:p>
    <w:p w:rsidR="00E5155E" w:rsidRPr="003328F4" w:rsidRDefault="00E5155E" w:rsidP="007F5138">
      <w:pPr>
        <w:pStyle w:val="pumpas1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 xml:space="preserve">tehniskā informācija par objekta izveides materiāliem </w:t>
      </w:r>
    </w:p>
    <w:p w:rsidR="00E5155E" w:rsidRPr="003328F4" w:rsidRDefault="00C10EBF" w:rsidP="007F5138">
      <w:pPr>
        <w:pStyle w:val="pumpas1"/>
        <w:numPr>
          <w:ilvl w:val="2"/>
          <w:numId w:val="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vides O</w:t>
      </w:r>
      <w:r w:rsidR="00E5155E" w:rsidRPr="003328F4">
        <w:rPr>
          <w:sz w:val="24"/>
          <w:szCs w:val="24"/>
          <w:lang w:val="lv-LV"/>
        </w:rPr>
        <w:t xml:space="preserve">bjekta realizācijas aptuvenas izmaksas. Vēlams </w:t>
      </w:r>
      <w:r w:rsidR="00164E01" w:rsidRPr="003328F4">
        <w:rPr>
          <w:sz w:val="24"/>
          <w:szCs w:val="24"/>
          <w:lang w:val="lv-LV"/>
        </w:rPr>
        <w:t>atsevišķi</w:t>
      </w:r>
      <w:r w:rsidR="00E5155E" w:rsidRPr="003328F4">
        <w:rPr>
          <w:sz w:val="24"/>
          <w:szCs w:val="24"/>
          <w:lang w:val="lv-LV"/>
        </w:rPr>
        <w:t xml:space="preserve"> izdalīt labiekārtojuma izmaksas un </w:t>
      </w:r>
      <w:proofErr w:type="spellStart"/>
      <w:r w:rsidR="00E5155E" w:rsidRPr="003328F4">
        <w:rPr>
          <w:sz w:val="24"/>
          <w:szCs w:val="24"/>
          <w:lang w:val="lv-LV"/>
        </w:rPr>
        <w:t>tēlnieciskā</w:t>
      </w:r>
      <w:proofErr w:type="spellEnd"/>
      <w:r w:rsidR="00E5155E" w:rsidRPr="003328F4">
        <w:rPr>
          <w:sz w:val="24"/>
          <w:szCs w:val="24"/>
          <w:lang w:val="lv-LV"/>
        </w:rPr>
        <w:t xml:space="preserve"> objekta realizācijas izmaksas. Izmaksas ir  jānorāda EUR (</w:t>
      </w:r>
      <w:proofErr w:type="spellStart"/>
      <w:r w:rsidR="00E5155E" w:rsidRPr="003328F4">
        <w:rPr>
          <w:i/>
          <w:iCs/>
          <w:sz w:val="24"/>
          <w:szCs w:val="24"/>
          <w:lang w:val="lv-LV"/>
        </w:rPr>
        <w:t>euro</w:t>
      </w:r>
      <w:proofErr w:type="spellEnd"/>
      <w:r w:rsidR="00E5155E" w:rsidRPr="003328F4">
        <w:rPr>
          <w:sz w:val="24"/>
          <w:szCs w:val="24"/>
          <w:lang w:val="lv-LV"/>
        </w:rPr>
        <w:t>) bez PVN.</w:t>
      </w:r>
    </w:p>
    <w:p w:rsidR="000C23D1" w:rsidRPr="003328F4" w:rsidRDefault="00C06470" w:rsidP="00C71A81">
      <w:pPr>
        <w:pStyle w:val="pumpas1"/>
        <w:numPr>
          <w:ilvl w:val="0"/>
          <w:numId w:val="0"/>
        </w:numPr>
        <w:ind w:left="360" w:hanging="360"/>
        <w:jc w:val="both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5</w:t>
      </w:r>
      <w:r w:rsidR="000C23D1" w:rsidRPr="003328F4">
        <w:rPr>
          <w:sz w:val="24"/>
          <w:szCs w:val="24"/>
          <w:lang w:val="lv-LV"/>
        </w:rPr>
        <w:t>.2. Grafiskā daļa, kura ietver:</w:t>
      </w:r>
    </w:p>
    <w:p w:rsidR="00E5155E" w:rsidRPr="003328F4" w:rsidRDefault="00C06470" w:rsidP="00C71A81">
      <w:pPr>
        <w:pStyle w:val="pumpas1"/>
        <w:numPr>
          <w:ilvl w:val="0"/>
          <w:numId w:val="0"/>
        </w:numPr>
        <w:jc w:val="both"/>
        <w:rPr>
          <w:rFonts w:eastAsiaTheme="minorEastAsia"/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 xml:space="preserve">5.2.1. </w:t>
      </w:r>
      <w:r w:rsidR="00E5155E" w:rsidRPr="003328F4">
        <w:rPr>
          <w:rFonts w:eastAsiaTheme="minorEastAsia"/>
          <w:sz w:val="24"/>
          <w:szCs w:val="24"/>
          <w:lang w:val="lv-LV"/>
        </w:rPr>
        <w:t xml:space="preserve">Mākslas objekta </w:t>
      </w:r>
      <w:r w:rsidR="000C23D1" w:rsidRPr="003328F4">
        <w:rPr>
          <w:rFonts w:eastAsiaTheme="minorEastAsia"/>
          <w:sz w:val="24"/>
          <w:szCs w:val="24"/>
          <w:lang w:val="lv-LV"/>
        </w:rPr>
        <w:t>skice brīvā tehnikā</w:t>
      </w:r>
      <w:r w:rsidR="00E5155E" w:rsidRPr="003328F4">
        <w:rPr>
          <w:rFonts w:eastAsiaTheme="minorEastAsia"/>
          <w:sz w:val="24"/>
          <w:szCs w:val="24"/>
          <w:lang w:val="lv-LV"/>
        </w:rPr>
        <w:t>, kas paskaidro koncepciju un objekta novietojumu telpā</w:t>
      </w:r>
    </w:p>
    <w:p w:rsidR="00E5155E" w:rsidRPr="003328F4" w:rsidRDefault="00C06470" w:rsidP="00C71A81">
      <w:pPr>
        <w:pStyle w:val="pumpas1"/>
        <w:numPr>
          <w:ilvl w:val="0"/>
          <w:numId w:val="0"/>
        </w:numPr>
        <w:jc w:val="both"/>
        <w:rPr>
          <w:lang w:val="lv-LV"/>
        </w:rPr>
      </w:pPr>
      <w:r w:rsidRPr="003328F4">
        <w:rPr>
          <w:rFonts w:eastAsiaTheme="minorEastAsia"/>
          <w:sz w:val="24"/>
          <w:szCs w:val="24"/>
          <w:lang w:val="lv-LV"/>
        </w:rPr>
        <w:t xml:space="preserve">5.2.2. </w:t>
      </w:r>
      <w:r w:rsidR="00E5155E" w:rsidRPr="003328F4">
        <w:rPr>
          <w:rFonts w:eastAsiaTheme="minorEastAsia"/>
          <w:sz w:val="24"/>
          <w:szCs w:val="24"/>
          <w:lang w:val="lv-LV"/>
        </w:rPr>
        <w:t xml:space="preserve">Objekta </w:t>
      </w:r>
      <w:r w:rsidR="00936276">
        <w:rPr>
          <w:rFonts w:eastAsiaTheme="minorEastAsia"/>
          <w:sz w:val="24"/>
          <w:szCs w:val="24"/>
          <w:lang w:val="lv-LV"/>
        </w:rPr>
        <w:t>skice</w:t>
      </w:r>
      <w:r w:rsidR="00E5155E" w:rsidRPr="003328F4">
        <w:rPr>
          <w:rFonts w:eastAsiaTheme="minorEastAsia"/>
          <w:sz w:val="24"/>
          <w:szCs w:val="24"/>
          <w:lang w:val="lv-LV"/>
        </w:rPr>
        <w:t xml:space="preserve"> </w:t>
      </w:r>
      <w:r w:rsidR="00936276">
        <w:rPr>
          <w:rFonts w:eastAsiaTheme="minorEastAsia"/>
          <w:sz w:val="24"/>
          <w:szCs w:val="24"/>
          <w:lang w:val="lv-LV"/>
        </w:rPr>
        <w:t>M 1:25 -</w:t>
      </w:r>
      <w:r w:rsidR="00E5155E" w:rsidRPr="003328F4">
        <w:rPr>
          <w:rFonts w:eastAsiaTheme="minorEastAsia"/>
          <w:sz w:val="24"/>
          <w:szCs w:val="24"/>
          <w:lang w:val="lv-LV"/>
        </w:rPr>
        <w:t xml:space="preserve"> 1: 50 un Vienības dārza labiekārtojuma skice mērogā 1: 200</w:t>
      </w:r>
    </w:p>
    <w:p w:rsidR="00E5155E" w:rsidRPr="003328F4" w:rsidRDefault="00C06470" w:rsidP="00C7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C23D1" w:rsidRPr="003328F4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C23D1" w:rsidRPr="003328F4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Objekta </w:t>
      </w:r>
      <w:proofErr w:type="spellStart"/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>vizualizācijas</w:t>
      </w:r>
      <w:proofErr w:type="spellEnd"/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no raksturīgiem pilsētvides skatu punktiem  </w:t>
      </w:r>
    </w:p>
    <w:p w:rsidR="00E5155E" w:rsidRPr="003328F4" w:rsidRDefault="00C06470" w:rsidP="00C7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C23D1" w:rsidRPr="003328F4">
        <w:rPr>
          <w:rFonts w:ascii="Times New Roman" w:hAnsi="Times New Roman" w:cs="Times New Roman"/>
          <w:sz w:val="24"/>
          <w:szCs w:val="24"/>
          <w:lang w:val="lv-LV"/>
        </w:rPr>
        <w:t>2.4</w:t>
      </w:r>
      <w:r w:rsidR="00E5155E" w:rsidRPr="003328F4">
        <w:rPr>
          <w:rFonts w:ascii="Times New Roman" w:hAnsi="Times New Roman" w:cs="Times New Roman"/>
          <w:sz w:val="24"/>
          <w:szCs w:val="24"/>
          <w:lang w:val="lv-LV"/>
        </w:rPr>
        <w:t>. Citi materiāli, ja tādi nepieciešami precīzākam idejas skaidrojumam.</w:t>
      </w:r>
    </w:p>
    <w:p w:rsidR="000C23D1" w:rsidRPr="003328F4" w:rsidRDefault="00C06470" w:rsidP="00C7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0C23D1" w:rsidRPr="003328F4">
        <w:rPr>
          <w:rFonts w:ascii="Times New Roman" w:hAnsi="Times New Roman" w:cs="Times New Roman"/>
          <w:sz w:val="24"/>
          <w:szCs w:val="24"/>
          <w:lang w:val="lv-LV"/>
        </w:rPr>
        <w:t>.3. Grafiskā daļa jānoformē uz A2 līdz A1 formāta planšetēm (skaits nav ierobežots)</w:t>
      </w:r>
      <w:r w:rsidR="00513E03" w:rsidRPr="003328F4">
        <w:rPr>
          <w:rFonts w:ascii="Times New Roman" w:hAnsi="Times New Roman" w:cs="Times New Roman"/>
          <w:sz w:val="24"/>
          <w:szCs w:val="24"/>
          <w:lang w:val="lv-LV"/>
        </w:rPr>
        <w:t>, katrai planšetei jābūt numurētai, katras planšetes kreisajā augšējā stūrī jānorada devīze, kas sastāv no diviem latīņu burtiem un trīs arābu cipariem.</w:t>
      </w:r>
    </w:p>
    <w:p w:rsidR="00007A5B" w:rsidRPr="003328F4" w:rsidRDefault="00C06470" w:rsidP="00C71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C71A81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.4. </w:t>
      </w:r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Mets noformējams arī elektroniskā formā (kompaktdiskā), kurā </w:t>
      </w:r>
      <w:proofErr w:type="spellStart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>planšetu</w:t>
      </w:r>
      <w:proofErr w:type="spellEnd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attēlus izveido ar 300 </w:t>
      </w:r>
      <w:proofErr w:type="spellStart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>dpi</w:t>
      </w:r>
      <w:proofErr w:type="spellEnd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izšķirtspēju Windows operētājsistēmā </w:t>
      </w:r>
      <w:proofErr w:type="spellStart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>pdf</w:t>
      </w:r>
      <w:proofErr w:type="spellEnd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failu formātā, bet paskaidrojuma rakstu ievieto </w:t>
      </w:r>
      <w:proofErr w:type="spellStart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>doc</w:t>
      </w:r>
      <w:proofErr w:type="spellEnd"/>
      <w:r w:rsidR="00F83329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formātā.</w:t>
      </w:r>
    </w:p>
    <w:p w:rsidR="00C71A81" w:rsidRPr="00C10EBF" w:rsidRDefault="00C06470" w:rsidP="00C71A8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5</w:t>
      </w:r>
      <w:r w:rsidR="00C71A81" w:rsidRPr="003328F4">
        <w:rPr>
          <w:rFonts w:ascii="Times New Roman" w:hAnsi="Times New Roman" w:cs="Times New Roman"/>
          <w:sz w:val="24"/>
          <w:szCs w:val="24"/>
          <w:lang w:val="lv-LV"/>
        </w:rPr>
        <w:t>.5</w:t>
      </w:r>
      <w:r w:rsidR="00C71A81" w:rsidRPr="00C10EBF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="00C71A81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Aizlīmēta aploksne, uz kuras norādīta de</w:t>
      </w:r>
      <w:r w:rsid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vīze, kurā ievietota ar dalībnieka</w:t>
      </w:r>
      <w:r w:rsidR="00C71A81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parakst</w:t>
      </w:r>
      <w:r w:rsid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u</w:t>
      </w:r>
      <w:r w:rsidR="00FB14A5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apliecināta dalībnieka anketa (Nolikuma </w:t>
      </w:r>
      <w:r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</w:t>
      </w:r>
      <w:r w:rsidR="00FB14A5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 pielikums)</w:t>
      </w:r>
      <w:r w:rsidR="00C10EBF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un CV. Anketā norādams dalībnieka </w:t>
      </w:r>
      <w:r w:rsidR="00FB14A5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vārds, uzvārds,</w:t>
      </w:r>
      <w:r w:rsidR="00C10EBF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juridiskai personai – nosaukums un reģistrācijas numurs,</w:t>
      </w:r>
      <w:r w:rsidR="00FB14A5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telefona numurs, e-pasta adrese.</w:t>
      </w:r>
      <w:r w:rsidR="00C831B2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Uz slēgtas aploksnes nenorāda m</w:t>
      </w:r>
      <w:r w:rsidR="00FB14A5" w:rsidRPr="00C10EBF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eta autoru.</w:t>
      </w:r>
    </w:p>
    <w:p w:rsidR="00813635" w:rsidRPr="003328F4" w:rsidRDefault="00813635" w:rsidP="00007A5B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13635" w:rsidRPr="003328F4" w:rsidRDefault="00C06470" w:rsidP="00813635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813635" w:rsidRPr="003328F4">
        <w:rPr>
          <w:rFonts w:ascii="Times New Roman" w:hAnsi="Times New Roman" w:cs="Times New Roman"/>
          <w:sz w:val="24"/>
          <w:szCs w:val="24"/>
          <w:lang w:val="lv-LV"/>
        </w:rPr>
        <w:t>. METU IESNIEGŠANAS VIETA, TERMIŅŠ UN KĀRTĪBA</w:t>
      </w:r>
    </w:p>
    <w:p w:rsidR="00C40355" w:rsidRDefault="00C831B2" w:rsidP="00C831B2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6.1. Konkursa meti</w:t>
      </w:r>
      <w:r w:rsidR="00C06470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iesniedzami līdz 2017. gada </w:t>
      </w:r>
      <w:bookmarkStart w:id="0" w:name="_GoBack"/>
      <w:r w:rsidR="00244F07" w:rsidRPr="00EF3947">
        <w:rPr>
          <w:rFonts w:ascii="Times New Roman" w:hAnsi="Times New Roman" w:cs="Times New Roman"/>
          <w:sz w:val="24"/>
          <w:szCs w:val="24"/>
          <w:lang w:val="lv-LV"/>
        </w:rPr>
        <w:t>4.septembrim</w:t>
      </w:r>
      <w:bookmarkEnd w:id="0"/>
      <w:r w:rsidR="00C06470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, Daugavpils pilsētas domē, </w:t>
      </w:r>
      <w:proofErr w:type="spellStart"/>
      <w:r w:rsidR="00C06470" w:rsidRPr="003328F4">
        <w:rPr>
          <w:rFonts w:ascii="Times New Roman" w:hAnsi="Times New Roman" w:cs="Times New Roman"/>
          <w:sz w:val="24"/>
          <w:szCs w:val="24"/>
          <w:lang w:val="lv-LV"/>
        </w:rPr>
        <w:t>Kr</w:t>
      </w:r>
      <w:proofErr w:type="spellEnd"/>
      <w:r w:rsidR="00C06470" w:rsidRPr="003328F4">
        <w:rPr>
          <w:rFonts w:ascii="Times New Roman" w:hAnsi="Times New Roman" w:cs="Times New Roman"/>
          <w:sz w:val="24"/>
          <w:szCs w:val="24"/>
          <w:lang w:val="lv-LV"/>
        </w:rPr>
        <w:t>. Valdemāra iel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ā 1, Daugavpils, LV-5401. </w:t>
      </w:r>
      <w:r w:rsidR="00C40355" w:rsidRPr="003328F4">
        <w:rPr>
          <w:rFonts w:ascii="Times New Roman" w:hAnsi="Times New Roman" w:cs="Times New Roman"/>
          <w:sz w:val="24"/>
          <w:szCs w:val="24"/>
          <w:lang w:val="lv-LV"/>
        </w:rPr>
        <w:t>Metu var iesniegt personīgi</w:t>
      </w:r>
      <w:r w:rsidR="00C40355" w:rsidRPr="00C4035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40355" w:rsidRPr="003328F4">
        <w:rPr>
          <w:rFonts w:ascii="Times New Roman" w:hAnsi="Times New Roman" w:cs="Times New Roman"/>
          <w:sz w:val="24"/>
          <w:szCs w:val="24"/>
          <w:lang w:val="lv-LV"/>
        </w:rPr>
        <w:t>darba dienās darba laikā, nosūtīt pa pastu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 xml:space="preserve"> ierakstītā pasta sūtījumā</w:t>
      </w:r>
      <w:r w:rsidR="00C40355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vai kurjerpastu Daugavpils pilsētas domei. Ja piedāvājums tiek nosūtīts pa pastu, tas </w:t>
      </w:r>
      <w:proofErr w:type="spellStart"/>
      <w:r w:rsidR="00C40355" w:rsidRPr="00EF3947">
        <w:rPr>
          <w:rFonts w:ascii="Times New Roman" w:hAnsi="Times New Roman" w:cs="Times New Roman"/>
          <w:sz w:val="24"/>
          <w:szCs w:val="24"/>
          <w:lang w:val="lv-LV"/>
        </w:rPr>
        <w:t>jānosūta</w:t>
      </w:r>
      <w:proofErr w:type="spellEnd"/>
      <w:r w:rsidR="00C40355" w:rsidRPr="00EF3947">
        <w:rPr>
          <w:rFonts w:ascii="Times New Roman" w:hAnsi="Times New Roman" w:cs="Times New Roman"/>
          <w:sz w:val="24"/>
          <w:szCs w:val="24"/>
          <w:lang w:val="lv-LV"/>
        </w:rPr>
        <w:t xml:space="preserve"> savlaicīgi ar aprēķinu, lai līdz metu iesniegšanas termiņa beigām tas tiktu saņemts.  </w:t>
      </w:r>
    </w:p>
    <w:p w:rsidR="00813635" w:rsidRPr="003328F4" w:rsidRDefault="00C06470" w:rsidP="00C831B2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6.2. </w:t>
      </w:r>
      <w:r w:rsidR="00813635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Metu iesniedz </w:t>
      </w:r>
      <w:r w:rsidR="00A96F07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slēgtā veidā, apzīmētu </w:t>
      </w:r>
      <w:r w:rsidR="00F612C1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ar devīzi. Metu iepakojumam jābūt droši noslēgtam, uz tā nedrīkst būt nekādi apzīmējumi, 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kas identificē iesniedzēju. Uz m</w:t>
      </w:r>
      <w:r w:rsidR="00F612C1" w:rsidRPr="003328F4">
        <w:rPr>
          <w:rFonts w:ascii="Times New Roman" w:hAnsi="Times New Roman" w:cs="Times New Roman"/>
          <w:sz w:val="24"/>
          <w:szCs w:val="24"/>
          <w:lang w:val="lv-LV"/>
        </w:rPr>
        <w:t>eta iepakojuma jābūt norādei: METU KONKURSAM „LATVIJAS VALSTS SIMTGADEI VELTĪTS PIEMIŅAS OBJEKTS VIENĪBAS DĀRZĀ DAUGAVPILĪ” un devīzei. Ar devīzi saprot burtu un ciparu kopu, kas neidentificē dalībnieku un ko lieto anonimitātes nodrošināšanai.</w:t>
      </w:r>
    </w:p>
    <w:p w:rsidR="00E93CA2" w:rsidRPr="003328F4" w:rsidRDefault="00C06470" w:rsidP="00F612C1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.3</w:t>
      </w:r>
      <w:r w:rsidR="00A47319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Konkursa d</w:t>
      </w:r>
      <w:r w:rsidR="00A47319">
        <w:rPr>
          <w:rFonts w:ascii="Times New Roman" w:hAnsi="Times New Roman" w:cs="Times New Roman"/>
          <w:sz w:val="24"/>
          <w:szCs w:val="24"/>
          <w:lang w:val="lv-LV"/>
        </w:rPr>
        <w:t>alībnieks atbild par meta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piegādāšanas veida drošību, apdrošināšanu, nodevām un sedz visus ar to saistītos izdevumus. </w:t>
      </w:r>
    </w:p>
    <w:p w:rsidR="00E93CA2" w:rsidRPr="003328F4" w:rsidRDefault="00C06470" w:rsidP="00F612C1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.5. Meti, kuri ir iesniegti pēc norādītā termiņa vai nav noformēti tā, lai nodrošinātu dalībnieku anonimitāti līdz devīžu atšifrējumu atvēršanas brīdim, netiek pieņemti un atvērti.</w:t>
      </w:r>
    </w:p>
    <w:p w:rsidR="00E93CA2" w:rsidRPr="003328F4" w:rsidRDefault="00C06470" w:rsidP="00F612C1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.6. Žūrijas komisijas atbildīgais sekretārs re</w:t>
      </w:r>
      <w:r w:rsidR="00A47319">
        <w:rPr>
          <w:rFonts w:ascii="Times New Roman" w:hAnsi="Times New Roman" w:cs="Times New Roman"/>
          <w:sz w:val="24"/>
          <w:szCs w:val="24"/>
          <w:lang w:val="lv-LV"/>
        </w:rPr>
        <w:t>ģistrē kontaktpersonas, kas metus iesniedz, un saņemtos m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etus to iesnieg</w:t>
      </w:r>
      <w:r w:rsidR="00A47319">
        <w:rPr>
          <w:rFonts w:ascii="Times New Roman" w:hAnsi="Times New Roman" w:cs="Times New Roman"/>
          <w:sz w:val="24"/>
          <w:szCs w:val="24"/>
          <w:lang w:val="lv-LV"/>
        </w:rPr>
        <w:t>šanas secībā, kā arī nodrošina m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etu glabāšanu.</w:t>
      </w:r>
    </w:p>
    <w:p w:rsidR="00E93CA2" w:rsidRPr="003328F4" w:rsidRDefault="00C06470" w:rsidP="00F612C1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A47319">
        <w:rPr>
          <w:rFonts w:ascii="Times New Roman" w:hAnsi="Times New Roman" w:cs="Times New Roman"/>
          <w:sz w:val="24"/>
          <w:szCs w:val="24"/>
          <w:lang w:val="lv-LV"/>
        </w:rPr>
        <w:t>.7. Uz m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etu iesaiņojuma, to neatverot, tiek izdarīta atzīme, kurā norādīts saņemšanas datums, laiks un reģistrācijas numurs. Iesniedzējs saņem ap</w:t>
      </w:r>
      <w:r w:rsidR="00A47319">
        <w:rPr>
          <w:rFonts w:ascii="Times New Roman" w:hAnsi="Times New Roman" w:cs="Times New Roman"/>
          <w:sz w:val="24"/>
          <w:szCs w:val="24"/>
          <w:lang w:val="lv-LV"/>
        </w:rPr>
        <w:t>liecinājumu tam, ka iesniedzis m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etu.</w:t>
      </w:r>
    </w:p>
    <w:p w:rsidR="00E93CA2" w:rsidRPr="003328F4" w:rsidRDefault="00C06470" w:rsidP="00F612C1">
      <w:pPr>
        <w:spacing w:after="0"/>
        <w:ind w:right="-9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6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.8. Izdevumus, kas saistīti ar m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etu sagatavošanu un iesniegšanu, 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konkursa d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alībnieks sed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z no paša līdzekļiem. Konkursa rīkotājs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nesedz un nekompen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sē šos izdevumus neatkarīgi no k</w:t>
      </w:r>
      <w:r w:rsidR="00E93CA2" w:rsidRPr="003328F4">
        <w:rPr>
          <w:rFonts w:ascii="Times New Roman" w:hAnsi="Times New Roman" w:cs="Times New Roman"/>
          <w:sz w:val="24"/>
          <w:szCs w:val="24"/>
          <w:lang w:val="lv-LV"/>
        </w:rPr>
        <w:t>onkursa norises un rezultāta.</w:t>
      </w:r>
    </w:p>
    <w:p w:rsidR="009A5B2A" w:rsidRPr="003328F4" w:rsidRDefault="009A5B2A" w:rsidP="00E5155E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9A5B2A" w:rsidRPr="003328F4" w:rsidRDefault="009A5B2A" w:rsidP="00C0647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KONKURSA DALĪBNIEKIEM IZSNIEDZAMIE MATERIĀLI </w:t>
      </w:r>
    </w:p>
    <w:p w:rsidR="00A8213F" w:rsidRPr="003328F4" w:rsidRDefault="00C06470" w:rsidP="00C06470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8213F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Nolikumam un tā pielikumiem, kā arī 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visām aktualitātēm saistībā ar konkursa norisi konkursa rīkotājs</w:t>
      </w:r>
      <w:r w:rsidR="00A8213F"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nodrošina brīvu un tiešu elektronisku pieeju Daugavpils pašvaldības mājaslapā interneta vietnē </w:t>
      </w:r>
      <w:hyperlink r:id="rId6" w:history="1">
        <w:r w:rsidR="00A8213F" w:rsidRPr="003328F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="00C40355">
        <w:rPr>
          <w:rFonts w:ascii="Times New Roman" w:hAnsi="Times New Roman" w:cs="Times New Roman"/>
          <w:sz w:val="24"/>
          <w:szCs w:val="24"/>
          <w:lang w:val="lv-LV"/>
        </w:rPr>
        <w:t>, sadaļā Latvijai-100. Ar k</w:t>
      </w:r>
      <w:r w:rsidR="00A8213F" w:rsidRPr="003328F4">
        <w:rPr>
          <w:rFonts w:ascii="Times New Roman" w:hAnsi="Times New Roman" w:cs="Times New Roman"/>
          <w:sz w:val="24"/>
          <w:szCs w:val="24"/>
          <w:lang w:val="lv-LV"/>
        </w:rPr>
        <w:t>onkursa dokumentāciju interesenti var iepazīties arī uz vietas Daugavpils pilsēt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 xml:space="preserve">as domē, iepriekš piezvanot šī nolikuma 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1.6</w:t>
      </w:r>
      <w:r w:rsidR="00A8213F" w:rsidRPr="003328F4">
        <w:rPr>
          <w:rFonts w:ascii="Times New Roman" w:hAnsi="Times New Roman" w:cs="Times New Roman"/>
          <w:sz w:val="24"/>
          <w:szCs w:val="24"/>
          <w:lang w:val="lv-LV"/>
        </w:rPr>
        <w:t>.punktā minētajai kontaktpersonai.</w:t>
      </w:r>
    </w:p>
    <w:p w:rsidR="007937A5" w:rsidRPr="003328F4" w:rsidRDefault="007937A5" w:rsidP="00C06470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Dalībniekiem, kas ir saņēmuši </w:t>
      </w:r>
      <w:r w:rsidR="00C06470" w:rsidRPr="003328F4">
        <w:rPr>
          <w:rFonts w:ascii="Times New Roman" w:hAnsi="Times New Roman" w:cs="Times New Roman"/>
          <w:sz w:val="24"/>
          <w:szCs w:val="24"/>
          <w:lang w:val="lv-LV"/>
        </w:rPr>
        <w:t>Vienības dārza topogrāfisko uzmērījumu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, pēc konkursa ir jāiznīcina šī ģeotelpiskā informācija un visas tās kopijas. Uz izdrukas materiāliem, kas izgatavoti no šī plāna, ir jābūt atsaucei: Datu sagatavošanā izmantoti augstas detalizācijas topogrāfiskās informācijas datubāzes dati (Autors: © Daugavpils pilsētas pašvaldība).</w:t>
      </w:r>
    </w:p>
    <w:p w:rsidR="007937A5" w:rsidRPr="003328F4" w:rsidRDefault="007937A5" w:rsidP="00C06470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>Ja dalībnieks ir laikus piepr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asījis papildu informāciju par n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olikumā </w:t>
      </w:r>
      <w:r w:rsidR="00C40355">
        <w:rPr>
          <w:rFonts w:ascii="Times New Roman" w:hAnsi="Times New Roman" w:cs="Times New Roman"/>
          <w:sz w:val="24"/>
          <w:szCs w:val="24"/>
          <w:lang w:val="lv-LV"/>
        </w:rPr>
        <w:t>iekļautajām prasībām, konkursa rīkotājs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 atbildi sniedz piecu dienu laikā, bet ne vēlāk kā sešas dienas pir</w:t>
      </w:r>
      <w:r w:rsidR="00466FFA">
        <w:rPr>
          <w:rFonts w:ascii="Times New Roman" w:hAnsi="Times New Roman" w:cs="Times New Roman"/>
          <w:sz w:val="24"/>
          <w:szCs w:val="24"/>
          <w:lang w:val="lv-LV"/>
        </w:rPr>
        <w:t>ms m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 xml:space="preserve">etu iesniegšanas termiņa beigām. Iesūtītais jautājums un atbilde, nenorādot tā iesniedzēju, tiek publicēts arī Daugavpils pilsētas pašvaldības mājas lapā interneta vietnē </w:t>
      </w:r>
      <w:r w:rsidRPr="008D3C85">
        <w:rPr>
          <w:rFonts w:ascii="Times New Roman" w:hAnsi="Times New Roman" w:cs="Times New Roman"/>
          <w:sz w:val="24"/>
          <w:szCs w:val="24"/>
          <w:lang w:val="lv-LV"/>
        </w:rPr>
        <w:t>www.daugavpils.lv</w:t>
      </w:r>
      <w:r w:rsidRPr="003328F4">
        <w:rPr>
          <w:rFonts w:ascii="Times New Roman" w:hAnsi="Times New Roman" w:cs="Times New Roman"/>
          <w:sz w:val="24"/>
          <w:szCs w:val="24"/>
          <w:lang w:val="lv-LV"/>
        </w:rPr>
        <w:t>, sadaļā Latvijai-100;</w:t>
      </w:r>
    </w:p>
    <w:p w:rsidR="007937A5" w:rsidRPr="00EF3947" w:rsidRDefault="005764B0" w:rsidP="00C06470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F3947">
        <w:rPr>
          <w:rFonts w:ascii="Times New Roman" w:hAnsi="Times New Roman" w:cs="Times New Roman"/>
          <w:sz w:val="24"/>
          <w:szCs w:val="24"/>
          <w:lang w:val="lv-LV"/>
        </w:rPr>
        <w:t xml:space="preserve">Dalībniekam, kas vēlas saņemt skaidrojumu par Nolikumu, rakstiski jāsastāda pieprasījums, kas adresēts Pasūtītājam, un </w:t>
      </w:r>
      <w:proofErr w:type="spellStart"/>
      <w:r w:rsidRPr="00EF3947">
        <w:rPr>
          <w:rFonts w:ascii="Times New Roman" w:hAnsi="Times New Roman" w:cs="Times New Roman"/>
          <w:sz w:val="24"/>
          <w:szCs w:val="24"/>
          <w:lang w:val="lv-LV"/>
        </w:rPr>
        <w:t>jānosūta</w:t>
      </w:r>
      <w:proofErr w:type="spellEnd"/>
      <w:r w:rsidRPr="00EF3947">
        <w:rPr>
          <w:rFonts w:ascii="Times New Roman" w:hAnsi="Times New Roman" w:cs="Times New Roman"/>
          <w:sz w:val="24"/>
          <w:szCs w:val="24"/>
          <w:lang w:val="lv-LV"/>
        </w:rPr>
        <w:t xml:space="preserve"> pa e-pastu žūrijas komisijas atbildīgajam sekretāram, e-pasts: slavkovska@inbox.lv, vai pa pastu (ierakstītā sūtījumā) Biedrībai „Latvijai-100”: </w:t>
      </w:r>
      <w:proofErr w:type="spellStart"/>
      <w:r w:rsidRPr="00EF3947">
        <w:rPr>
          <w:rFonts w:ascii="Times New Roman" w:hAnsi="Times New Roman" w:cs="Times New Roman"/>
          <w:sz w:val="24"/>
          <w:szCs w:val="24"/>
          <w:lang w:val="lv-LV"/>
        </w:rPr>
        <w:t>Kr</w:t>
      </w:r>
      <w:proofErr w:type="spellEnd"/>
      <w:r w:rsidRPr="00EF3947">
        <w:rPr>
          <w:rFonts w:ascii="Times New Roman" w:hAnsi="Times New Roman" w:cs="Times New Roman"/>
          <w:sz w:val="24"/>
          <w:szCs w:val="24"/>
          <w:lang w:val="lv-LV"/>
        </w:rPr>
        <w:t>. Valdemāra ielā 1, Daugavpilī, LV-5401.</w:t>
      </w:r>
    </w:p>
    <w:p w:rsidR="007937A5" w:rsidRPr="00C06470" w:rsidRDefault="007937A5" w:rsidP="00C06470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6470">
        <w:rPr>
          <w:rFonts w:ascii="Times New Roman" w:hAnsi="Times New Roman" w:cs="Times New Roman"/>
          <w:sz w:val="24"/>
          <w:szCs w:val="24"/>
          <w:lang w:val="lv-LV"/>
        </w:rPr>
        <w:t>Tiek uzskatīts, ka dalībnieks ir sa</w:t>
      </w:r>
      <w:r w:rsidR="00466FFA">
        <w:rPr>
          <w:rFonts w:ascii="Times New Roman" w:hAnsi="Times New Roman" w:cs="Times New Roman"/>
          <w:sz w:val="24"/>
          <w:szCs w:val="24"/>
          <w:lang w:val="lv-LV"/>
        </w:rPr>
        <w:t>ņēmis informāciju, ja konkursa rīkotājs</w:t>
      </w:r>
      <w:r w:rsidRPr="00C06470">
        <w:rPr>
          <w:rFonts w:ascii="Times New Roman" w:hAnsi="Times New Roman" w:cs="Times New Roman"/>
          <w:sz w:val="24"/>
          <w:szCs w:val="24"/>
          <w:lang w:val="lv-LV"/>
        </w:rPr>
        <w:t xml:space="preserve"> nosūtījis to pa e-pastu, faksu vai pa pastu ierakstītā sūtījumā uz norādīto adresi.</w:t>
      </w:r>
    </w:p>
    <w:p w:rsidR="007937A5" w:rsidRPr="00C06470" w:rsidRDefault="00466FFA" w:rsidP="00C06470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 rīkotājs nodrošina, lai līdz m</w:t>
      </w:r>
      <w:r w:rsidR="007937A5" w:rsidRPr="00C06470">
        <w:rPr>
          <w:rFonts w:ascii="Times New Roman" w:hAnsi="Times New Roman" w:cs="Times New Roman"/>
          <w:sz w:val="24"/>
          <w:szCs w:val="24"/>
          <w:lang w:val="lv-LV"/>
        </w:rPr>
        <w:t>etu atvēršan</w:t>
      </w:r>
      <w:r w:rsidR="00F37C38">
        <w:rPr>
          <w:rFonts w:ascii="Times New Roman" w:hAnsi="Times New Roman" w:cs="Times New Roman"/>
          <w:sz w:val="24"/>
          <w:szCs w:val="24"/>
          <w:lang w:val="lv-LV"/>
        </w:rPr>
        <w:t xml:space="preserve">ai konkursa dalībnieku saraksts, izņemot uzaicinātos dalībniekus, </w:t>
      </w:r>
      <w:r w:rsidR="007937A5" w:rsidRPr="00C06470">
        <w:rPr>
          <w:rFonts w:ascii="Times New Roman" w:hAnsi="Times New Roman" w:cs="Times New Roman"/>
          <w:sz w:val="24"/>
          <w:szCs w:val="24"/>
          <w:lang w:val="lv-LV"/>
        </w:rPr>
        <w:t>netiktu izpausts.</w:t>
      </w:r>
    </w:p>
    <w:p w:rsidR="00E5155E" w:rsidRDefault="00E5155E" w:rsidP="00C06470">
      <w:pPr>
        <w:pStyle w:val="pumpas1"/>
        <w:numPr>
          <w:ilvl w:val="0"/>
          <w:numId w:val="0"/>
        </w:numPr>
        <w:jc w:val="both"/>
        <w:rPr>
          <w:color w:val="00B0F0"/>
          <w:sz w:val="24"/>
          <w:szCs w:val="24"/>
          <w:lang w:val="lv-LV"/>
        </w:rPr>
      </w:pPr>
    </w:p>
    <w:p w:rsidR="006545EF" w:rsidRPr="00164E01" w:rsidRDefault="007937A5" w:rsidP="00C0647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REZULTĀTU PAZIŅOŠANA</w:t>
      </w:r>
    </w:p>
    <w:p w:rsidR="009740BE" w:rsidRDefault="006545EF" w:rsidP="00C06470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06470">
        <w:rPr>
          <w:rFonts w:ascii="Times New Roman" w:hAnsi="Times New Roman" w:cs="Times New Roman"/>
          <w:sz w:val="24"/>
          <w:szCs w:val="24"/>
          <w:lang w:val="lv-LV"/>
        </w:rPr>
        <w:t>Žūrijas komisija divu</w:t>
      </w:r>
      <w:r w:rsidR="00466FFA">
        <w:rPr>
          <w:rFonts w:ascii="Times New Roman" w:hAnsi="Times New Roman" w:cs="Times New Roman"/>
          <w:sz w:val="24"/>
          <w:szCs w:val="24"/>
          <w:lang w:val="lv-LV"/>
        </w:rPr>
        <w:t xml:space="preserve"> nedēļu laikā pēc metu</w:t>
      </w:r>
      <w:r w:rsidRPr="00C06470">
        <w:rPr>
          <w:rFonts w:ascii="Times New Roman" w:hAnsi="Times New Roman" w:cs="Times New Roman"/>
          <w:sz w:val="24"/>
          <w:szCs w:val="24"/>
          <w:lang w:val="lv-LV"/>
        </w:rPr>
        <w:t xml:space="preserve"> iesni</w:t>
      </w:r>
      <w:r w:rsidR="00466FFA">
        <w:rPr>
          <w:rFonts w:ascii="Times New Roman" w:hAnsi="Times New Roman" w:cs="Times New Roman"/>
          <w:sz w:val="24"/>
          <w:szCs w:val="24"/>
          <w:lang w:val="lv-LV"/>
        </w:rPr>
        <w:t>egšanas</w:t>
      </w:r>
      <w:r w:rsidR="00B4399C">
        <w:rPr>
          <w:rFonts w:ascii="Times New Roman" w:hAnsi="Times New Roman" w:cs="Times New Roman"/>
          <w:sz w:val="24"/>
          <w:szCs w:val="24"/>
          <w:lang w:val="lv-LV"/>
        </w:rPr>
        <w:t xml:space="preserve"> termiņa beigām</w:t>
      </w:r>
      <w:r w:rsidR="009740B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66F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740BE" w:rsidRDefault="009740BE" w:rsidP="009740B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izskata iesniegtos metus  un nosaka konkursa uzvarētāju un godalgoto vietu ieguvējus, neatverot </w:t>
      </w:r>
      <w:r w:rsidR="003D2D4E">
        <w:rPr>
          <w:rFonts w:ascii="Times New Roman" w:hAnsi="Times New Roman" w:cs="Times New Roman"/>
          <w:sz w:val="24"/>
          <w:szCs w:val="24"/>
          <w:lang w:val="lv-LV"/>
        </w:rPr>
        <w:t xml:space="preserve">aizlīmētās aploksnes </w:t>
      </w:r>
      <w:r>
        <w:rPr>
          <w:rFonts w:ascii="Times New Roman" w:hAnsi="Times New Roman" w:cs="Times New Roman"/>
          <w:sz w:val="24"/>
          <w:szCs w:val="24"/>
          <w:lang w:val="lv-LV"/>
        </w:rPr>
        <w:t>ar konk</w:t>
      </w:r>
      <w:r w:rsidR="00C10EBF">
        <w:rPr>
          <w:rFonts w:ascii="Times New Roman" w:hAnsi="Times New Roman" w:cs="Times New Roman"/>
          <w:sz w:val="24"/>
          <w:szCs w:val="24"/>
          <w:lang w:val="lv-LV"/>
        </w:rPr>
        <w:t>ursa dalībnieku identificējošiem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datiem.</w:t>
      </w:r>
    </w:p>
    <w:p w:rsidR="009740BE" w:rsidRPr="003D2D4E" w:rsidRDefault="009740BE" w:rsidP="009740BE">
      <w:pPr>
        <w:pStyle w:val="pumpas1"/>
        <w:numPr>
          <w:ilvl w:val="1"/>
          <w:numId w:val="14"/>
        </w:numPr>
        <w:jc w:val="both"/>
        <w:rPr>
          <w:sz w:val="24"/>
          <w:szCs w:val="24"/>
          <w:lang w:val="lv-LV"/>
        </w:rPr>
      </w:pPr>
      <w:r w:rsidRPr="006545EF">
        <w:rPr>
          <w:sz w:val="24"/>
          <w:szCs w:val="24"/>
          <w:lang w:val="lv-LV"/>
        </w:rPr>
        <w:t>Ž</w:t>
      </w:r>
      <w:r>
        <w:rPr>
          <w:sz w:val="24"/>
          <w:szCs w:val="24"/>
          <w:lang w:val="lv-LV"/>
        </w:rPr>
        <w:t>ūrijas komisija nosaka devīžu atšifrēšanas sēdes vietu, datumu un laiku un par to ne vēlāk kā 5 (piecas) darba die</w:t>
      </w:r>
      <w:r w:rsidR="003D2D4E">
        <w:rPr>
          <w:sz w:val="24"/>
          <w:szCs w:val="24"/>
          <w:lang w:val="lv-LV"/>
        </w:rPr>
        <w:t>nas pirms sēdes, paziņojot</w:t>
      </w:r>
      <w:r w:rsidR="003D2D4E" w:rsidRPr="003D2D4E">
        <w:rPr>
          <w:color w:val="000000" w:themeColor="text1"/>
          <w:sz w:val="24"/>
          <w:szCs w:val="24"/>
          <w:lang w:val="lv-LV"/>
        </w:rPr>
        <w:t xml:space="preserve"> </w:t>
      </w:r>
      <w:r w:rsidR="003D2D4E" w:rsidRPr="003F60E4">
        <w:rPr>
          <w:color w:val="000000" w:themeColor="text1"/>
          <w:sz w:val="24"/>
          <w:szCs w:val="24"/>
          <w:lang w:val="lv-LV"/>
        </w:rPr>
        <w:t>Daugavpils pilsētas</w:t>
      </w:r>
      <w:r w:rsidR="003D2D4E">
        <w:rPr>
          <w:color w:val="000000" w:themeColor="text1"/>
          <w:sz w:val="24"/>
          <w:szCs w:val="24"/>
          <w:lang w:val="lv-LV"/>
        </w:rPr>
        <w:t xml:space="preserve"> domes</w:t>
      </w:r>
      <w:r w:rsidR="003D2D4E" w:rsidRPr="003F60E4">
        <w:rPr>
          <w:color w:val="000000" w:themeColor="text1"/>
          <w:sz w:val="24"/>
          <w:szCs w:val="24"/>
          <w:lang w:val="lv-LV"/>
        </w:rPr>
        <w:t xml:space="preserve"> mājas lapā www. </w:t>
      </w:r>
      <w:proofErr w:type="spellStart"/>
      <w:r w:rsidR="003D2D4E" w:rsidRPr="003F60E4">
        <w:rPr>
          <w:color w:val="000000" w:themeColor="text1"/>
          <w:sz w:val="24"/>
          <w:szCs w:val="24"/>
          <w:lang w:val="lv-LV"/>
        </w:rPr>
        <w:t>daugavpils.lv</w:t>
      </w:r>
      <w:r w:rsidR="00500C34">
        <w:rPr>
          <w:color w:val="000000" w:themeColor="text1"/>
          <w:sz w:val="24"/>
          <w:szCs w:val="24"/>
          <w:lang w:val="lv-LV"/>
        </w:rPr>
        <w:t>,</w:t>
      </w:r>
      <w:r w:rsidR="00500C34">
        <w:rPr>
          <w:sz w:val="24"/>
          <w:szCs w:val="24"/>
          <w:lang w:val="lv-LV"/>
        </w:rPr>
        <w:t>sadaļā</w:t>
      </w:r>
      <w:proofErr w:type="spellEnd"/>
      <w:r w:rsidR="00500C34">
        <w:rPr>
          <w:sz w:val="24"/>
          <w:szCs w:val="24"/>
          <w:lang w:val="lv-LV"/>
        </w:rPr>
        <w:t xml:space="preserve"> Latvijai-100.</w:t>
      </w:r>
    </w:p>
    <w:p w:rsidR="003D2D4E" w:rsidRDefault="003D2D4E" w:rsidP="003D2D4E">
      <w:pPr>
        <w:pStyle w:val="pumpas1"/>
        <w:numPr>
          <w:ilvl w:val="1"/>
          <w:numId w:val="1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Devīžu atšifrējumu atvēršana ir atklāta.</w:t>
      </w:r>
    </w:p>
    <w:p w:rsidR="003D2D4E" w:rsidRDefault="003D2D4E" w:rsidP="003D2D4E">
      <w:pPr>
        <w:pStyle w:val="pumpas1"/>
        <w:numPr>
          <w:ilvl w:val="1"/>
          <w:numId w:val="14"/>
        </w:numPr>
        <w:jc w:val="both"/>
        <w:rPr>
          <w:sz w:val="24"/>
          <w:szCs w:val="24"/>
          <w:lang w:val="lv-LV"/>
        </w:rPr>
      </w:pPr>
      <w:r w:rsidRPr="003D2D4E">
        <w:rPr>
          <w:sz w:val="24"/>
          <w:szCs w:val="24"/>
          <w:lang w:val="lv-LV"/>
        </w:rPr>
        <w:t>Atbildīgais sekretārs nosauc uzvarētāju un godalgoto vietu ieguvēju devīzes. Pēc tam atver devīžu atšifrējumus, nosauc uzvarētāju un godalgoto vietu ieguvējus.</w:t>
      </w:r>
    </w:p>
    <w:p w:rsidR="00090598" w:rsidRPr="003D2D4E" w:rsidRDefault="00500C34" w:rsidP="003D2D4E">
      <w:pPr>
        <w:pStyle w:val="pumpas1"/>
        <w:numPr>
          <w:ilvl w:val="1"/>
          <w:numId w:val="14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Konkursa rīkotā</w:t>
      </w:r>
      <w:r w:rsidR="000E2CC9" w:rsidRPr="003D2D4E">
        <w:rPr>
          <w:sz w:val="24"/>
          <w:szCs w:val="24"/>
          <w:lang w:val="lv-LV"/>
        </w:rPr>
        <w:t>js</w:t>
      </w:r>
      <w:r w:rsidR="00090598" w:rsidRPr="003D2D4E">
        <w:rPr>
          <w:sz w:val="24"/>
          <w:szCs w:val="24"/>
          <w:lang w:val="lv-LV"/>
        </w:rPr>
        <w:t xml:space="preserve"> 3 (triju) darba dienu laikā pēc devīžu atšifrējumu atvēršanas sanāksmes informē visus metu konkursa dalībniekus par pieņemto lēmumu attiecībā uz metu konkursa rezultātiem.</w:t>
      </w:r>
    </w:p>
    <w:p w:rsidR="00E5155E" w:rsidRPr="00E5155E" w:rsidRDefault="00E5155E" w:rsidP="00E5155E">
      <w:pPr>
        <w:pStyle w:val="ListParagraph"/>
        <w:spacing w:after="0"/>
        <w:ind w:left="485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73781" w:rsidRDefault="00C73781" w:rsidP="00C0647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AUTORT</w:t>
      </w:r>
      <w:r w:rsidR="00CD6759">
        <w:rPr>
          <w:rFonts w:ascii="Times New Roman" w:hAnsi="Times New Roman" w:cs="Times New Roman"/>
          <w:sz w:val="24"/>
          <w:szCs w:val="24"/>
        </w:rPr>
        <w:t>IESĪBAS UN NOBEIGUMA NOTEIKUMI</w:t>
      </w:r>
    </w:p>
    <w:p w:rsidR="00CD6759" w:rsidRDefault="00CD6759" w:rsidP="00CD6759">
      <w:pPr>
        <w:spacing w:after="0"/>
        <w:ind w:firstLine="48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D6759">
        <w:rPr>
          <w:rFonts w:ascii="Times New Roman" w:hAnsi="Times New Roman" w:cs="Times New Roman"/>
          <w:sz w:val="24"/>
          <w:szCs w:val="24"/>
          <w:lang w:val="lv-LV"/>
        </w:rPr>
        <w:t>Īpašuma</w:t>
      </w:r>
      <w:r w:rsidR="002A6D45">
        <w:rPr>
          <w:rFonts w:ascii="Times New Roman" w:hAnsi="Times New Roman" w:cs="Times New Roman"/>
          <w:sz w:val="24"/>
          <w:szCs w:val="24"/>
          <w:lang w:val="lv-LV"/>
        </w:rPr>
        <w:t xml:space="preserve"> tiesības uz k</w:t>
      </w:r>
      <w:r>
        <w:rPr>
          <w:rFonts w:ascii="Times New Roman" w:hAnsi="Times New Roman" w:cs="Times New Roman"/>
          <w:sz w:val="24"/>
          <w:szCs w:val="24"/>
          <w:lang w:val="lv-LV"/>
        </w:rPr>
        <w:t>onkursa</w:t>
      </w:r>
      <w:r w:rsidR="0029504F">
        <w:rPr>
          <w:rFonts w:ascii="Times New Roman" w:hAnsi="Times New Roman" w:cs="Times New Roman"/>
          <w:sz w:val="24"/>
          <w:szCs w:val="24"/>
          <w:lang w:val="lv-LV"/>
        </w:rPr>
        <w:t xml:space="preserve"> uzvarētāja</w:t>
      </w:r>
      <w:r w:rsidR="002A6D45">
        <w:rPr>
          <w:rFonts w:ascii="Times New Roman" w:hAnsi="Times New Roman" w:cs="Times New Roman"/>
          <w:sz w:val="24"/>
          <w:szCs w:val="24"/>
          <w:lang w:val="lv-LV"/>
        </w:rPr>
        <w:t xml:space="preserve"> metu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A6D45">
        <w:rPr>
          <w:rFonts w:ascii="Times New Roman" w:hAnsi="Times New Roman" w:cs="Times New Roman"/>
          <w:sz w:val="24"/>
          <w:szCs w:val="24"/>
          <w:lang w:val="lv-LV"/>
        </w:rPr>
        <w:t xml:space="preserve">un tā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sastāvā esošajiem materiāliem, pāriet </w:t>
      </w:r>
      <w:r w:rsidR="002A6D45">
        <w:rPr>
          <w:rFonts w:ascii="Times New Roman" w:hAnsi="Times New Roman" w:cs="Times New Roman"/>
          <w:sz w:val="24"/>
          <w:szCs w:val="24"/>
          <w:lang w:val="lv-LV"/>
        </w:rPr>
        <w:t xml:space="preserve">konkursa rīkotājam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pilnā apmē</w:t>
      </w:r>
      <w:r w:rsidR="002A6D45">
        <w:rPr>
          <w:rFonts w:ascii="Times New Roman" w:hAnsi="Times New Roman" w:cs="Times New Roman"/>
          <w:sz w:val="24"/>
          <w:szCs w:val="24"/>
          <w:lang w:val="lv-LV"/>
        </w:rPr>
        <w:t xml:space="preserve">rā. Autortiesības tiek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saglabātas </w:t>
      </w:r>
      <w:r w:rsidR="002A6D45">
        <w:rPr>
          <w:rFonts w:ascii="Times New Roman" w:hAnsi="Times New Roman" w:cs="Times New Roman"/>
          <w:sz w:val="24"/>
          <w:szCs w:val="24"/>
          <w:lang w:val="lv-LV"/>
        </w:rPr>
        <w:t>saskaņā ar Latvijas Republikā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spēkā esošajiem normatīvajiem aktiem.</w:t>
      </w:r>
    </w:p>
    <w:p w:rsidR="00895BDB" w:rsidRDefault="002A6D45" w:rsidP="00CD6759">
      <w:pPr>
        <w:spacing w:after="0"/>
        <w:ind w:firstLine="48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Pārējie</w:t>
      </w:r>
      <w:r w:rsidR="0029504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konkursa dalībnieki</w:t>
      </w:r>
      <w:r w:rsidR="00895BDB">
        <w:rPr>
          <w:rFonts w:ascii="Times New Roman" w:hAnsi="Times New Roman" w:cs="Times New Roman"/>
          <w:sz w:val="24"/>
          <w:szCs w:val="24"/>
          <w:lang w:val="lv-LV"/>
        </w:rPr>
        <w:t xml:space="preserve"> var saņemt atpaka</w:t>
      </w:r>
      <w:r w:rsidR="003F60E4">
        <w:rPr>
          <w:rFonts w:ascii="Times New Roman" w:hAnsi="Times New Roman" w:cs="Times New Roman"/>
          <w:sz w:val="24"/>
          <w:szCs w:val="24"/>
          <w:lang w:val="lv-LV"/>
        </w:rPr>
        <w:t>ļ savus metus un tā sastāvā esošos materiālus</w:t>
      </w:r>
      <w:r w:rsidR="00895BDB">
        <w:rPr>
          <w:rFonts w:ascii="Times New Roman" w:hAnsi="Times New Roman" w:cs="Times New Roman"/>
          <w:sz w:val="24"/>
          <w:szCs w:val="24"/>
          <w:lang w:val="lv-LV"/>
        </w:rPr>
        <w:t xml:space="preserve"> 1 (viena) mēneša laikā pēc konkursa rezultātu publicēšanas. Pēc minētā termiņa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beigām konkursa rīkotājs par metu saglabāšanu nav atbildīgs</w:t>
      </w:r>
      <w:r w:rsidR="00895BD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CD6759" w:rsidRDefault="00CD6759" w:rsidP="00CD6759">
      <w:pPr>
        <w:spacing w:after="0"/>
        <w:ind w:firstLine="48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Jautājumi, kuri nav atrunāti šajos noteikumos un līgumā par dalību konkursā, tiek izšķirti saskaņā ar Latvijas Republikas spēkā esošajiem normatīvajiem aktiem</w:t>
      </w:r>
    </w:p>
    <w:p w:rsidR="00C73781" w:rsidRPr="00CD6759" w:rsidRDefault="002A6D45" w:rsidP="00CD6759">
      <w:pPr>
        <w:spacing w:after="0"/>
        <w:ind w:firstLine="48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Par konkursa uzvarētāja</w:t>
      </w:r>
      <w:r w:rsidR="00CD6759">
        <w:rPr>
          <w:rFonts w:ascii="Times New Roman" w:hAnsi="Times New Roman" w:cs="Times New Roman"/>
          <w:sz w:val="24"/>
          <w:szCs w:val="24"/>
          <w:lang w:val="lv-LV"/>
        </w:rPr>
        <w:t xml:space="preserve"> līdzdalības veidu </w:t>
      </w:r>
      <w:r>
        <w:rPr>
          <w:rFonts w:ascii="Times New Roman" w:hAnsi="Times New Roman" w:cs="Times New Roman"/>
          <w:sz w:val="24"/>
          <w:szCs w:val="24"/>
          <w:lang w:val="lv-LV"/>
        </w:rPr>
        <w:t>piedāvātā vides objekta izveidošanai konkursa rīkotājs un konkursa uzvarētājs vienojas rakstiski.</w:t>
      </w:r>
    </w:p>
    <w:p w:rsidR="00FF06F8" w:rsidRPr="003328F4" w:rsidRDefault="00AA4435" w:rsidP="00EB3C8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328F4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595F2D" w:rsidRPr="003328F4" w:rsidRDefault="00F00C49" w:rsidP="00F00C49">
      <w:pPr>
        <w:pStyle w:val="pumpas1"/>
        <w:numPr>
          <w:ilvl w:val="0"/>
          <w:numId w:val="12"/>
        </w:numPr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NOLIKUMA PIELIKUMU SARAKSTS</w:t>
      </w:r>
    </w:p>
    <w:p w:rsidR="00164E01" w:rsidRPr="003328F4" w:rsidRDefault="00164E01" w:rsidP="00164E01">
      <w:pPr>
        <w:pStyle w:val="pumpas1"/>
        <w:numPr>
          <w:ilvl w:val="0"/>
          <w:numId w:val="0"/>
        </w:numPr>
        <w:ind w:left="485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1.pielikums – Dalībnieka anketa</w:t>
      </w:r>
    </w:p>
    <w:p w:rsidR="00164E01" w:rsidRPr="003328F4" w:rsidRDefault="00164E01" w:rsidP="00164E01">
      <w:pPr>
        <w:pStyle w:val="pumpas1"/>
        <w:numPr>
          <w:ilvl w:val="0"/>
          <w:numId w:val="0"/>
        </w:numPr>
        <w:ind w:left="485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 xml:space="preserve">2.pielikums – </w:t>
      </w:r>
      <w:r w:rsidR="007937A5" w:rsidRPr="003328F4">
        <w:rPr>
          <w:sz w:val="24"/>
          <w:szCs w:val="24"/>
          <w:lang w:val="lv-LV"/>
        </w:rPr>
        <w:t>Vienības dārza topogrāfiskais uzmērījums</w:t>
      </w:r>
      <w:r w:rsidRPr="003328F4">
        <w:rPr>
          <w:sz w:val="24"/>
          <w:szCs w:val="24"/>
          <w:lang w:val="lv-LV"/>
        </w:rPr>
        <w:t xml:space="preserve">, </w:t>
      </w:r>
      <w:proofErr w:type="spellStart"/>
      <w:r w:rsidRPr="003328F4">
        <w:rPr>
          <w:sz w:val="24"/>
          <w:szCs w:val="24"/>
          <w:lang w:val="lv-LV"/>
        </w:rPr>
        <w:t>pdf</w:t>
      </w:r>
      <w:proofErr w:type="spellEnd"/>
      <w:r w:rsidRPr="003328F4">
        <w:rPr>
          <w:sz w:val="24"/>
          <w:szCs w:val="24"/>
          <w:lang w:val="lv-LV"/>
        </w:rPr>
        <w:t xml:space="preserve"> fails, </w:t>
      </w:r>
      <w:proofErr w:type="spellStart"/>
      <w:r w:rsidRPr="003328F4">
        <w:rPr>
          <w:sz w:val="24"/>
          <w:szCs w:val="24"/>
          <w:lang w:val="lv-LV"/>
        </w:rPr>
        <w:t>dwg</w:t>
      </w:r>
      <w:proofErr w:type="spellEnd"/>
      <w:r w:rsidRPr="003328F4">
        <w:rPr>
          <w:sz w:val="24"/>
          <w:szCs w:val="24"/>
          <w:lang w:val="lv-LV"/>
        </w:rPr>
        <w:t xml:space="preserve"> fails</w:t>
      </w:r>
    </w:p>
    <w:p w:rsidR="00164E01" w:rsidRPr="003328F4" w:rsidRDefault="00A8213F" w:rsidP="00164E01">
      <w:pPr>
        <w:pStyle w:val="pumpas1"/>
        <w:numPr>
          <w:ilvl w:val="0"/>
          <w:numId w:val="0"/>
        </w:numPr>
        <w:ind w:left="485"/>
        <w:rPr>
          <w:rStyle w:val="Hyperlink"/>
          <w:color w:val="auto"/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3</w:t>
      </w:r>
      <w:r w:rsidR="00164E01" w:rsidRPr="003328F4">
        <w:rPr>
          <w:sz w:val="24"/>
          <w:szCs w:val="24"/>
          <w:lang w:val="lv-LV"/>
        </w:rPr>
        <w:t xml:space="preserve">.pielikums – </w:t>
      </w:r>
      <w:proofErr w:type="spellStart"/>
      <w:r w:rsidR="00164E01" w:rsidRPr="003328F4">
        <w:rPr>
          <w:sz w:val="24"/>
          <w:szCs w:val="24"/>
          <w:lang w:val="lv-LV"/>
        </w:rPr>
        <w:t>Izkopējums</w:t>
      </w:r>
      <w:proofErr w:type="spellEnd"/>
      <w:r w:rsidR="00164E01" w:rsidRPr="003328F4">
        <w:rPr>
          <w:sz w:val="24"/>
          <w:szCs w:val="24"/>
          <w:lang w:val="lv-LV"/>
        </w:rPr>
        <w:t xml:space="preserve"> no Daugavpils pilsētas teritorijas plānojuma 2006.-2018. gadam kartes “Teritorijas plānotā (atļautā) izmantošana. Kopsavilkums”</w:t>
      </w:r>
      <w:r w:rsidR="002C78AF">
        <w:rPr>
          <w:sz w:val="24"/>
          <w:szCs w:val="24"/>
          <w:lang w:val="lv-LV"/>
        </w:rPr>
        <w:t xml:space="preserve">, </w:t>
      </w:r>
      <w:proofErr w:type="spellStart"/>
      <w:r w:rsidR="002C78AF">
        <w:rPr>
          <w:sz w:val="24"/>
          <w:szCs w:val="24"/>
          <w:lang w:val="lv-LV"/>
        </w:rPr>
        <w:t>pdf</w:t>
      </w:r>
      <w:proofErr w:type="spellEnd"/>
      <w:r w:rsidR="002C78AF">
        <w:rPr>
          <w:sz w:val="24"/>
          <w:szCs w:val="24"/>
          <w:lang w:val="lv-LV"/>
        </w:rPr>
        <w:t xml:space="preserve"> fails</w:t>
      </w:r>
      <w:r w:rsidR="00164E01" w:rsidRPr="003328F4">
        <w:rPr>
          <w:sz w:val="24"/>
          <w:szCs w:val="24"/>
          <w:lang w:val="lv-LV"/>
        </w:rPr>
        <w:t xml:space="preserve">. Plašāka informācija par Daugavpils pilsētas teritorijas plānojumu pieejama </w:t>
      </w:r>
      <w:hyperlink r:id="rId7" w:history="1">
        <w:r w:rsidR="00895BDB" w:rsidRPr="003328F4">
          <w:rPr>
            <w:rStyle w:val="Hyperlink"/>
            <w:color w:val="auto"/>
            <w:sz w:val="24"/>
            <w:szCs w:val="24"/>
            <w:lang w:val="lv-LV"/>
          </w:rPr>
          <w:t>http://www.daugavpils.lv/lv/111</w:t>
        </w:r>
      </w:hyperlink>
    </w:p>
    <w:p w:rsidR="00A8213F" w:rsidRPr="003328F4" w:rsidRDefault="00A8213F" w:rsidP="00A8213F">
      <w:pPr>
        <w:pStyle w:val="pumpas1"/>
        <w:numPr>
          <w:ilvl w:val="0"/>
          <w:numId w:val="0"/>
        </w:numPr>
        <w:ind w:left="485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4.pielikums – Vienības dārza fotogrāfijas</w:t>
      </w:r>
    </w:p>
    <w:p w:rsidR="0097462D" w:rsidRPr="003328F4" w:rsidRDefault="0097462D" w:rsidP="00A8213F">
      <w:pPr>
        <w:pStyle w:val="pumpas1"/>
        <w:numPr>
          <w:ilvl w:val="0"/>
          <w:numId w:val="0"/>
        </w:numPr>
        <w:ind w:left="485"/>
        <w:rPr>
          <w:sz w:val="24"/>
          <w:szCs w:val="24"/>
          <w:lang w:val="lv-LV"/>
        </w:rPr>
      </w:pPr>
      <w:r w:rsidRPr="003328F4">
        <w:rPr>
          <w:sz w:val="24"/>
          <w:szCs w:val="24"/>
          <w:lang w:val="lv-LV"/>
        </w:rPr>
        <w:t>5.pielikums – Ieceres apraksts</w:t>
      </w:r>
    </w:p>
    <w:p w:rsidR="00A8213F" w:rsidRDefault="00A8213F" w:rsidP="00164E01">
      <w:pPr>
        <w:pStyle w:val="pumpas1"/>
        <w:numPr>
          <w:ilvl w:val="0"/>
          <w:numId w:val="0"/>
        </w:numPr>
        <w:ind w:left="485"/>
        <w:rPr>
          <w:color w:val="00B0F0"/>
          <w:sz w:val="24"/>
          <w:szCs w:val="24"/>
          <w:lang w:val="lv-LV"/>
        </w:rPr>
      </w:pPr>
    </w:p>
    <w:p w:rsidR="00895BDB" w:rsidRDefault="00895BDB" w:rsidP="00164E01">
      <w:pPr>
        <w:pStyle w:val="pumpas1"/>
        <w:numPr>
          <w:ilvl w:val="0"/>
          <w:numId w:val="0"/>
        </w:numPr>
        <w:ind w:left="485"/>
        <w:rPr>
          <w:color w:val="00B0F0"/>
          <w:sz w:val="24"/>
          <w:szCs w:val="24"/>
          <w:lang w:val="lv-LV"/>
        </w:rPr>
      </w:pPr>
    </w:p>
    <w:p w:rsidR="00925641" w:rsidRPr="00895BDB" w:rsidRDefault="00925641" w:rsidP="00164E01">
      <w:pPr>
        <w:pStyle w:val="pumpas1"/>
        <w:numPr>
          <w:ilvl w:val="0"/>
          <w:numId w:val="0"/>
        </w:numPr>
        <w:ind w:left="485"/>
        <w:rPr>
          <w:color w:val="00B0F0"/>
          <w:sz w:val="24"/>
          <w:szCs w:val="24"/>
          <w:lang w:val="lv-LV"/>
        </w:rPr>
      </w:pPr>
    </w:p>
    <w:sectPr w:rsidR="00925641" w:rsidRPr="00895BDB" w:rsidSect="00D41C7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255"/>
    <w:multiLevelType w:val="multilevel"/>
    <w:tmpl w:val="28E669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3497D24"/>
    <w:multiLevelType w:val="multilevel"/>
    <w:tmpl w:val="3AA8B6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254BF3"/>
    <w:multiLevelType w:val="hybridMultilevel"/>
    <w:tmpl w:val="AC24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4C14"/>
    <w:multiLevelType w:val="multilevel"/>
    <w:tmpl w:val="C9427E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DDB06FC"/>
    <w:multiLevelType w:val="singleLevel"/>
    <w:tmpl w:val="BA6C331A"/>
    <w:lvl w:ilvl="0">
      <w:start w:val="1"/>
      <w:numFmt w:val="bullet"/>
      <w:pStyle w:val="pump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083506"/>
    <w:multiLevelType w:val="hybridMultilevel"/>
    <w:tmpl w:val="588425A4"/>
    <w:lvl w:ilvl="0" w:tplc="FA2C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4C5"/>
    <w:multiLevelType w:val="hybridMultilevel"/>
    <w:tmpl w:val="9782CC84"/>
    <w:lvl w:ilvl="0" w:tplc="337C69C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902D8"/>
    <w:multiLevelType w:val="multilevel"/>
    <w:tmpl w:val="C71064D6"/>
    <w:lvl w:ilvl="0">
      <w:start w:val="1"/>
      <w:numFmt w:val="decimal"/>
      <w:lvlText w:val="%1."/>
      <w:lvlJc w:val="left"/>
      <w:pPr>
        <w:ind w:left="485" w:hanging="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4691A39"/>
    <w:multiLevelType w:val="multilevel"/>
    <w:tmpl w:val="4A76F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6CF1595"/>
    <w:multiLevelType w:val="hybridMultilevel"/>
    <w:tmpl w:val="36B29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A96379"/>
    <w:multiLevelType w:val="hybridMultilevel"/>
    <w:tmpl w:val="DEDAFBAE"/>
    <w:lvl w:ilvl="0" w:tplc="E1BA4F9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7" w:hanging="360"/>
      </w:pPr>
    </w:lvl>
    <w:lvl w:ilvl="2" w:tplc="0426001B" w:tentative="1">
      <w:start w:val="1"/>
      <w:numFmt w:val="lowerRoman"/>
      <w:lvlText w:val="%3."/>
      <w:lvlJc w:val="right"/>
      <w:pPr>
        <w:ind w:left="2527" w:hanging="180"/>
      </w:pPr>
    </w:lvl>
    <w:lvl w:ilvl="3" w:tplc="0426000F" w:tentative="1">
      <w:start w:val="1"/>
      <w:numFmt w:val="decimal"/>
      <w:lvlText w:val="%4."/>
      <w:lvlJc w:val="left"/>
      <w:pPr>
        <w:ind w:left="3247" w:hanging="360"/>
      </w:pPr>
    </w:lvl>
    <w:lvl w:ilvl="4" w:tplc="04260019" w:tentative="1">
      <w:start w:val="1"/>
      <w:numFmt w:val="lowerLetter"/>
      <w:lvlText w:val="%5."/>
      <w:lvlJc w:val="left"/>
      <w:pPr>
        <w:ind w:left="3967" w:hanging="360"/>
      </w:pPr>
    </w:lvl>
    <w:lvl w:ilvl="5" w:tplc="0426001B" w:tentative="1">
      <w:start w:val="1"/>
      <w:numFmt w:val="lowerRoman"/>
      <w:lvlText w:val="%6."/>
      <w:lvlJc w:val="right"/>
      <w:pPr>
        <w:ind w:left="4687" w:hanging="180"/>
      </w:pPr>
    </w:lvl>
    <w:lvl w:ilvl="6" w:tplc="0426000F" w:tentative="1">
      <w:start w:val="1"/>
      <w:numFmt w:val="decimal"/>
      <w:lvlText w:val="%7."/>
      <w:lvlJc w:val="left"/>
      <w:pPr>
        <w:ind w:left="5407" w:hanging="360"/>
      </w:pPr>
    </w:lvl>
    <w:lvl w:ilvl="7" w:tplc="04260019" w:tentative="1">
      <w:start w:val="1"/>
      <w:numFmt w:val="lowerLetter"/>
      <w:lvlText w:val="%8."/>
      <w:lvlJc w:val="left"/>
      <w:pPr>
        <w:ind w:left="6127" w:hanging="360"/>
      </w:pPr>
    </w:lvl>
    <w:lvl w:ilvl="8" w:tplc="0426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1" w15:restartNumberingAfterBreak="0">
    <w:nsid w:val="78B17D0E"/>
    <w:multiLevelType w:val="hybridMultilevel"/>
    <w:tmpl w:val="7F206A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D50AF"/>
    <w:multiLevelType w:val="hybridMultilevel"/>
    <w:tmpl w:val="38F09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B22AB"/>
    <w:multiLevelType w:val="multilevel"/>
    <w:tmpl w:val="D7BE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BF"/>
    <w:rsid w:val="00007A5B"/>
    <w:rsid w:val="00017577"/>
    <w:rsid w:val="0002610B"/>
    <w:rsid w:val="0003332E"/>
    <w:rsid w:val="0003677A"/>
    <w:rsid w:val="00042AED"/>
    <w:rsid w:val="00065450"/>
    <w:rsid w:val="00073EDA"/>
    <w:rsid w:val="00090598"/>
    <w:rsid w:val="000C23D1"/>
    <w:rsid w:val="000E2CC9"/>
    <w:rsid w:val="00124AE0"/>
    <w:rsid w:val="00163802"/>
    <w:rsid w:val="00164E01"/>
    <w:rsid w:val="001709AF"/>
    <w:rsid w:val="001874B3"/>
    <w:rsid w:val="00194541"/>
    <w:rsid w:val="0019644A"/>
    <w:rsid w:val="00197295"/>
    <w:rsid w:val="001A4C1A"/>
    <w:rsid w:val="001F0508"/>
    <w:rsid w:val="001F73DD"/>
    <w:rsid w:val="00204F28"/>
    <w:rsid w:val="002079D3"/>
    <w:rsid w:val="00244F07"/>
    <w:rsid w:val="00257A7F"/>
    <w:rsid w:val="00263E08"/>
    <w:rsid w:val="0029504F"/>
    <w:rsid w:val="002A6D45"/>
    <w:rsid w:val="002B68B1"/>
    <w:rsid w:val="002C2464"/>
    <w:rsid w:val="002C4026"/>
    <w:rsid w:val="002C55AC"/>
    <w:rsid w:val="002C78AF"/>
    <w:rsid w:val="002D35BB"/>
    <w:rsid w:val="00306D2C"/>
    <w:rsid w:val="00320083"/>
    <w:rsid w:val="003328F4"/>
    <w:rsid w:val="0034319D"/>
    <w:rsid w:val="003577F0"/>
    <w:rsid w:val="003623BB"/>
    <w:rsid w:val="00367385"/>
    <w:rsid w:val="00391964"/>
    <w:rsid w:val="003940F3"/>
    <w:rsid w:val="003A65DF"/>
    <w:rsid w:val="003B779B"/>
    <w:rsid w:val="003D2D4E"/>
    <w:rsid w:val="003D48E8"/>
    <w:rsid w:val="003E3BCD"/>
    <w:rsid w:val="003E6177"/>
    <w:rsid w:val="003F60E4"/>
    <w:rsid w:val="00417802"/>
    <w:rsid w:val="004204C7"/>
    <w:rsid w:val="00431AC9"/>
    <w:rsid w:val="00433F4F"/>
    <w:rsid w:val="00442A7F"/>
    <w:rsid w:val="00450FBF"/>
    <w:rsid w:val="004633DE"/>
    <w:rsid w:val="00466FFA"/>
    <w:rsid w:val="004B312E"/>
    <w:rsid w:val="00500C34"/>
    <w:rsid w:val="00504D3F"/>
    <w:rsid w:val="00513810"/>
    <w:rsid w:val="00513E03"/>
    <w:rsid w:val="00520FB5"/>
    <w:rsid w:val="00524BF4"/>
    <w:rsid w:val="005307C5"/>
    <w:rsid w:val="00532A3B"/>
    <w:rsid w:val="00542699"/>
    <w:rsid w:val="00545802"/>
    <w:rsid w:val="00572ED0"/>
    <w:rsid w:val="005764B0"/>
    <w:rsid w:val="00577136"/>
    <w:rsid w:val="00593593"/>
    <w:rsid w:val="00595F2D"/>
    <w:rsid w:val="005A24D2"/>
    <w:rsid w:val="005A27CF"/>
    <w:rsid w:val="005F67B1"/>
    <w:rsid w:val="00631FCC"/>
    <w:rsid w:val="00640CCC"/>
    <w:rsid w:val="006508F3"/>
    <w:rsid w:val="00652AC0"/>
    <w:rsid w:val="006545EF"/>
    <w:rsid w:val="00664399"/>
    <w:rsid w:val="00664F98"/>
    <w:rsid w:val="00680CD8"/>
    <w:rsid w:val="00696AC9"/>
    <w:rsid w:val="006C5347"/>
    <w:rsid w:val="006D547F"/>
    <w:rsid w:val="006D63B6"/>
    <w:rsid w:val="006E5FAA"/>
    <w:rsid w:val="00716561"/>
    <w:rsid w:val="007250B3"/>
    <w:rsid w:val="00726400"/>
    <w:rsid w:val="00737142"/>
    <w:rsid w:val="0078254D"/>
    <w:rsid w:val="007833A4"/>
    <w:rsid w:val="007937A5"/>
    <w:rsid w:val="007A3392"/>
    <w:rsid w:val="007A7997"/>
    <w:rsid w:val="007B0085"/>
    <w:rsid w:val="007F5138"/>
    <w:rsid w:val="007F7C58"/>
    <w:rsid w:val="00803AFF"/>
    <w:rsid w:val="0080408A"/>
    <w:rsid w:val="00804104"/>
    <w:rsid w:val="00813635"/>
    <w:rsid w:val="008176F7"/>
    <w:rsid w:val="00843BEA"/>
    <w:rsid w:val="00852123"/>
    <w:rsid w:val="0086095F"/>
    <w:rsid w:val="00876B3C"/>
    <w:rsid w:val="008778C8"/>
    <w:rsid w:val="008914E2"/>
    <w:rsid w:val="00895BDB"/>
    <w:rsid w:val="008A5B6D"/>
    <w:rsid w:val="008A7A17"/>
    <w:rsid w:val="008D3C85"/>
    <w:rsid w:val="008D403D"/>
    <w:rsid w:val="008E4872"/>
    <w:rsid w:val="008F1605"/>
    <w:rsid w:val="008F3DC2"/>
    <w:rsid w:val="0091070D"/>
    <w:rsid w:val="00921086"/>
    <w:rsid w:val="00925641"/>
    <w:rsid w:val="00936276"/>
    <w:rsid w:val="009740BE"/>
    <w:rsid w:val="0097462D"/>
    <w:rsid w:val="009827DC"/>
    <w:rsid w:val="009A3B2D"/>
    <w:rsid w:val="009A5B2A"/>
    <w:rsid w:val="009C7912"/>
    <w:rsid w:val="009D3D44"/>
    <w:rsid w:val="009D471E"/>
    <w:rsid w:val="009E3BF9"/>
    <w:rsid w:val="00A218C3"/>
    <w:rsid w:val="00A30FE8"/>
    <w:rsid w:val="00A47319"/>
    <w:rsid w:val="00A47337"/>
    <w:rsid w:val="00A65382"/>
    <w:rsid w:val="00A747EA"/>
    <w:rsid w:val="00A74A03"/>
    <w:rsid w:val="00A776AC"/>
    <w:rsid w:val="00A8213F"/>
    <w:rsid w:val="00A8615B"/>
    <w:rsid w:val="00A865FE"/>
    <w:rsid w:val="00A8797C"/>
    <w:rsid w:val="00A96F07"/>
    <w:rsid w:val="00AA4435"/>
    <w:rsid w:val="00AB7B45"/>
    <w:rsid w:val="00AC1B22"/>
    <w:rsid w:val="00B337D2"/>
    <w:rsid w:val="00B4399C"/>
    <w:rsid w:val="00B53D01"/>
    <w:rsid w:val="00B77B19"/>
    <w:rsid w:val="00B81652"/>
    <w:rsid w:val="00B82360"/>
    <w:rsid w:val="00B97F00"/>
    <w:rsid w:val="00BA4847"/>
    <w:rsid w:val="00BC08D5"/>
    <w:rsid w:val="00BD0B63"/>
    <w:rsid w:val="00BD524F"/>
    <w:rsid w:val="00BE0018"/>
    <w:rsid w:val="00BE1F0E"/>
    <w:rsid w:val="00BF41CE"/>
    <w:rsid w:val="00C06470"/>
    <w:rsid w:val="00C10EBF"/>
    <w:rsid w:val="00C231BB"/>
    <w:rsid w:val="00C40355"/>
    <w:rsid w:val="00C44091"/>
    <w:rsid w:val="00C50364"/>
    <w:rsid w:val="00C507F3"/>
    <w:rsid w:val="00C51925"/>
    <w:rsid w:val="00C52ECC"/>
    <w:rsid w:val="00C53C16"/>
    <w:rsid w:val="00C71A81"/>
    <w:rsid w:val="00C73781"/>
    <w:rsid w:val="00C75895"/>
    <w:rsid w:val="00C831B2"/>
    <w:rsid w:val="00C83B3D"/>
    <w:rsid w:val="00CA0046"/>
    <w:rsid w:val="00CB3BF6"/>
    <w:rsid w:val="00CB4B93"/>
    <w:rsid w:val="00CD6759"/>
    <w:rsid w:val="00CD7BE8"/>
    <w:rsid w:val="00CE74C7"/>
    <w:rsid w:val="00CF74FD"/>
    <w:rsid w:val="00CF7A69"/>
    <w:rsid w:val="00D30ADC"/>
    <w:rsid w:val="00D41C70"/>
    <w:rsid w:val="00D47FED"/>
    <w:rsid w:val="00D724E7"/>
    <w:rsid w:val="00D835E7"/>
    <w:rsid w:val="00D86583"/>
    <w:rsid w:val="00D96770"/>
    <w:rsid w:val="00DD1453"/>
    <w:rsid w:val="00E056DE"/>
    <w:rsid w:val="00E3643C"/>
    <w:rsid w:val="00E40227"/>
    <w:rsid w:val="00E4518C"/>
    <w:rsid w:val="00E46DD6"/>
    <w:rsid w:val="00E5155E"/>
    <w:rsid w:val="00E56C82"/>
    <w:rsid w:val="00E93CA2"/>
    <w:rsid w:val="00EB3C81"/>
    <w:rsid w:val="00EC425F"/>
    <w:rsid w:val="00EC77CF"/>
    <w:rsid w:val="00ED6367"/>
    <w:rsid w:val="00EF2AE3"/>
    <w:rsid w:val="00EF3947"/>
    <w:rsid w:val="00F00C49"/>
    <w:rsid w:val="00F07FDB"/>
    <w:rsid w:val="00F17B8C"/>
    <w:rsid w:val="00F20542"/>
    <w:rsid w:val="00F21086"/>
    <w:rsid w:val="00F23929"/>
    <w:rsid w:val="00F34A25"/>
    <w:rsid w:val="00F37C38"/>
    <w:rsid w:val="00F612C1"/>
    <w:rsid w:val="00F83329"/>
    <w:rsid w:val="00F84774"/>
    <w:rsid w:val="00FB14A5"/>
    <w:rsid w:val="00FD4DAB"/>
    <w:rsid w:val="00FF0625"/>
    <w:rsid w:val="00FF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17B47E-6EA7-403B-837F-2B2F92F5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4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35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8E8"/>
    <w:rPr>
      <w:color w:val="0000FF" w:themeColor="hyperlink"/>
      <w:u w:val="single"/>
    </w:rPr>
  </w:style>
  <w:style w:type="paragraph" w:customStyle="1" w:styleId="pumpas1">
    <w:name w:val="pumpas1"/>
    <w:basedOn w:val="Normal"/>
    <w:rsid w:val="003D48E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623BB"/>
  </w:style>
  <w:style w:type="character" w:customStyle="1" w:styleId="Heading1Char">
    <w:name w:val="Heading 1 Char"/>
    <w:basedOn w:val="DefaultParagraphFont"/>
    <w:link w:val="Heading1"/>
    <w:uiPriority w:val="9"/>
    <w:rsid w:val="00EC425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table" w:styleId="TableGrid">
    <w:name w:val="Table Grid"/>
    <w:basedOn w:val="TableNormal"/>
    <w:uiPriority w:val="39"/>
    <w:rsid w:val="00B7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ugavpils.lv/lv/1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B157-DA17-4FB8-ABBA-81872EF3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2096</Words>
  <Characters>11950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Semjonova</cp:lastModifiedBy>
  <cp:revision>3</cp:revision>
  <cp:lastPrinted>2017-01-31T12:08:00Z</cp:lastPrinted>
  <dcterms:created xsi:type="dcterms:W3CDTF">2017-04-12T08:51:00Z</dcterms:created>
  <dcterms:modified xsi:type="dcterms:W3CDTF">2017-04-12T10:48:00Z</dcterms:modified>
</cp:coreProperties>
</file>