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BA" w:rsidRPr="006F0BC6" w:rsidRDefault="005C11BA" w:rsidP="006F0BC6">
      <w:pPr>
        <w:pStyle w:val="Heading1"/>
        <w:ind w:firstLine="6379"/>
        <w:jc w:val="left"/>
        <w:rPr>
          <w:szCs w:val="24"/>
        </w:rPr>
      </w:pPr>
      <w:r w:rsidRPr="006F0BC6">
        <w:rPr>
          <w:szCs w:val="24"/>
        </w:rPr>
        <w:t xml:space="preserve">Pielikums </w:t>
      </w:r>
    </w:p>
    <w:p w:rsidR="006F0BC6" w:rsidRDefault="006F0BC6" w:rsidP="006F0BC6">
      <w:pPr>
        <w:pStyle w:val="Heading1"/>
        <w:ind w:firstLine="6379"/>
        <w:jc w:val="left"/>
        <w:rPr>
          <w:szCs w:val="24"/>
        </w:rPr>
      </w:pPr>
      <w:r>
        <w:rPr>
          <w:szCs w:val="24"/>
        </w:rPr>
        <w:t>Daugavpils pilsētas domes</w:t>
      </w:r>
    </w:p>
    <w:p w:rsidR="005C11BA" w:rsidRPr="006F0BC6" w:rsidRDefault="005C11BA" w:rsidP="006F0BC6">
      <w:pPr>
        <w:pStyle w:val="Heading1"/>
        <w:ind w:firstLine="6379"/>
        <w:jc w:val="left"/>
        <w:rPr>
          <w:szCs w:val="24"/>
        </w:rPr>
      </w:pPr>
      <w:r w:rsidRPr="006F0BC6">
        <w:rPr>
          <w:szCs w:val="24"/>
        </w:rPr>
        <w:t xml:space="preserve">2016.gada </w:t>
      </w:r>
      <w:r w:rsidR="006F0BC6">
        <w:rPr>
          <w:szCs w:val="24"/>
        </w:rPr>
        <w:t>29</w:t>
      </w:r>
      <w:r w:rsidRPr="006F0BC6">
        <w:rPr>
          <w:szCs w:val="24"/>
        </w:rPr>
        <w:t>.</w:t>
      </w:r>
      <w:r w:rsidR="006F0BC6">
        <w:rPr>
          <w:szCs w:val="24"/>
        </w:rPr>
        <w:t>septembra</w:t>
      </w:r>
    </w:p>
    <w:p w:rsidR="005C11BA" w:rsidRPr="006F0BC6" w:rsidRDefault="005C11BA" w:rsidP="006F0BC6">
      <w:pPr>
        <w:shd w:val="clear" w:color="auto" w:fill="FFFFFF"/>
        <w:spacing w:line="278" w:lineRule="exact"/>
        <w:ind w:firstLine="6379"/>
        <w:rPr>
          <w:color w:val="000000"/>
          <w:spacing w:val="-5"/>
          <w:lang w:val="lv-LV"/>
        </w:rPr>
      </w:pPr>
      <w:r w:rsidRPr="006F0BC6">
        <w:rPr>
          <w:color w:val="000000"/>
          <w:spacing w:val="-5"/>
          <w:lang w:val="lv-LV"/>
        </w:rPr>
        <w:t>lēmumam Nr.</w:t>
      </w:r>
      <w:r w:rsidR="008B18D8">
        <w:rPr>
          <w:color w:val="000000"/>
          <w:spacing w:val="-5"/>
          <w:lang w:val="lv-LV"/>
        </w:rPr>
        <w:t>523</w:t>
      </w:r>
    </w:p>
    <w:p w:rsidR="005C11BA" w:rsidRPr="006F0BC6" w:rsidRDefault="005C11BA" w:rsidP="006F0BC6">
      <w:pPr>
        <w:shd w:val="clear" w:color="auto" w:fill="FFFFFF"/>
        <w:spacing w:line="278" w:lineRule="exact"/>
        <w:rPr>
          <w:lang w:val="lv-LV"/>
        </w:rPr>
      </w:pPr>
    </w:p>
    <w:p w:rsidR="005C11BA" w:rsidRPr="00071EB6" w:rsidRDefault="006F0BC6" w:rsidP="005C11BA">
      <w:pPr>
        <w:jc w:val="center"/>
        <w:rPr>
          <w:b/>
          <w:bCs/>
          <w:lang w:val="lv-LV"/>
        </w:rPr>
      </w:pPr>
      <w:r>
        <w:rPr>
          <w:b/>
          <w:bCs/>
          <w:lang w:val="lv-LV"/>
        </w:rPr>
        <w:t>“</w:t>
      </w:r>
      <w:r w:rsidR="005C11BA">
        <w:rPr>
          <w:b/>
          <w:bCs/>
          <w:lang w:val="lv-LV"/>
        </w:rPr>
        <w:t xml:space="preserve">Par </w:t>
      </w:r>
      <w:r w:rsidR="005C11BA" w:rsidRPr="00071EB6">
        <w:rPr>
          <w:b/>
          <w:bCs/>
          <w:lang w:val="lv-LV"/>
        </w:rPr>
        <w:t xml:space="preserve">atteikumu izsniegt atļauju kazino atvēršanai </w:t>
      </w:r>
    </w:p>
    <w:p w:rsidR="005C11BA" w:rsidRPr="00C812F6" w:rsidRDefault="005C11BA" w:rsidP="005C11BA">
      <w:pPr>
        <w:jc w:val="center"/>
        <w:rPr>
          <w:lang w:val="lv-LV"/>
        </w:rPr>
      </w:pPr>
      <w:r w:rsidRPr="00071EB6">
        <w:rPr>
          <w:b/>
          <w:bCs/>
          <w:lang w:val="lv-LV"/>
        </w:rPr>
        <w:t>ēkā Sakņu ielā 15, Daugavpilī”</w:t>
      </w:r>
      <w:r w:rsidRPr="00071EB6">
        <w:rPr>
          <w:b/>
          <w:bCs/>
          <w:spacing w:val="3"/>
          <w:szCs w:val="23"/>
          <w:lang w:val="lv-LV"/>
        </w:rPr>
        <w:t xml:space="preserve"> </w:t>
      </w:r>
      <w:r>
        <w:rPr>
          <w:b/>
          <w:bCs/>
          <w:color w:val="000000"/>
          <w:spacing w:val="3"/>
          <w:szCs w:val="23"/>
          <w:lang w:val="lv-LV"/>
        </w:rPr>
        <w:t>pamatojums</w:t>
      </w:r>
    </w:p>
    <w:p w:rsidR="005C11BA" w:rsidRDefault="005C11BA" w:rsidP="005C11BA">
      <w:pPr>
        <w:shd w:val="clear" w:color="auto" w:fill="FFFFFF"/>
        <w:spacing w:line="274" w:lineRule="exact"/>
        <w:ind w:right="62"/>
        <w:jc w:val="both"/>
        <w:rPr>
          <w:color w:val="000000"/>
          <w:spacing w:val="-2"/>
          <w:sz w:val="25"/>
          <w:szCs w:val="25"/>
          <w:lang w:val="lv-LV"/>
        </w:rPr>
      </w:pPr>
    </w:p>
    <w:p w:rsidR="005C11BA" w:rsidRDefault="005C11BA" w:rsidP="006F0BC6">
      <w:pPr>
        <w:pStyle w:val="BodyText"/>
        <w:ind w:firstLine="567"/>
      </w:pPr>
      <w:r>
        <w:rPr>
          <w:color w:val="000000"/>
          <w:spacing w:val="-3"/>
          <w:szCs w:val="25"/>
        </w:rPr>
        <w:t xml:space="preserve">Daugavpils pilsētas domē </w:t>
      </w:r>
      <w:r>
        <w:rPr>
          <w:color w:val="000000"/>
          <w:spacing w:val="6"/>
          <w:szCs w:val="25"/>
        </w:rPr>
        <w:t xml:space="preserve">(turpmāk– Dome) </w:t>
      </w:r>
      <w:r>
        <w:rPr>
          <w:color w:val="000000"/>
          <w:spacing w:val="-3"/>
          <w:szCs w:val="25"/>
        </w:rPr>
        <w:t xml:space="preserve">2016.gada 29.jūlijā tika saņemts </w:t>
      </w:r>
      <w:r>
        <w:rPr>
          <w:color w:val="000000"/>
          <w:spacing w:val="6"/>
          <w:szCs w:val="25"/>
        </w:rPr>
        <w:t>sabiedrības ar ierobežotu atbildību</w:t>
      </w:r>
      <w:r>
        <w:rPr>
          <w:color w:val="000000"/>
          <w:spacing w:val="-3"/>
          <w:szCs w:val="25"/>
        </w:rPr>
        <w:t xml:space="preserve"> </w:t>
      </w:r>
      <w:r>
        <w:t>“</w:t>
      </w:r>
      <w:r>
        <w:rPr>
          <w:bCs/>
        </w:rPr>
        <w:t>Olympic Casino Latvia</w:t>
      </w:r>
      <w:r>
        <w:t>” (turpmāk - SIA “</w:t>
      </w:r>
      <w:r>
        <w:rPr>
          <w:bCs/>
        </w:rPr>
        <w:t>Olympic Casino Latvia</w:t>
      </w:r>
      <w:r>
        <w:t>”) iesniegums izsniegt atļauju kazino atvēršanai esošajā azartspēļu vietā - Sakņu ielā 15, Daugavpilī, telpās, kur pašlaik darbojas SIA “Garkalns” spēļu zāle.</w:t>
      </w:r>
    </w:p>
    <w:p w:rsidR="005C11BA" w:rsidRPr="00C812F6" w:rsidRDefault="005C11BA" w:rsidP="006F0BC6">
      <w:pPr>
        <w:shd w:val="clear" w:color="auto" w:fill="FFFFFF"/>
        <w:tabs>
          <w:tab w:val="left" w:pos="864"/>
        </w:tabs>
        <w:ind w:left="62" w:firstLine="567"/>
        <w:jc w:val="both"/>
        <w:rPr>
          <w:lang w:val="lv-LV"/>
        </w:rPr>
      </w:pPr>
      <w:r>
        <w:rPr>
          <w:color w:val="000000"/>
          <w:spacing w:val="6"/>
          <w:szCs w:val="25"/>
          <w:lang w:val="lv-LV"/>
        </w:rPr>
        <w:t xml:space="preserve">Azartspēļu organizētāja iesniegumu par </w:t>
      </w:r>
      <w:r>
        <w:rPr>
          <w:lang w:val="lv-LV"/>
        </w:rPr>
        <w:t xml:space="preserve">atļauju atvērt kazino </w:t>
      </w:r>
      <w:r>
        <w:rPr>
          <w:color w:val="000000"/>
          <w:spacing w:val="6"/>
          <w:szCs w:val="25"/>
          <w:lang w:val="lv-LV"/>
        </w:rPr>
        <w:t xml:space="preserve">konkrētajās telpās (turpmāk – atļauja) izskata pašvaldība </w:t>
      </w:r>
      <w:r>
        <w:rPr>
          <w:color w:val="000000"/>
          <w:szCs w:val="25"/>
          <w:lang w:val="lv-LV"/>
        </w:rPr>
        <w:t xml:space="preserve">Azartspēļu un izložu likuma (turpmāk tekstā – Likums)  42.pantā noteiktajā kārtībā. Saskaņā ar šā panta pirmo daļu </w:t>
      </w:r>
      <w:r>
        <w:rPr>
          <w:lang w:val="lv-LV"/>
        </w:rPr>
        <w:t>azartspēļu organizētājs iesniedz pašvaldībai iesniegumu, kuram pievieno:</w:t>
      </w:r>
    </w:p>
    <w:p w:rsidR="005C11BA" w:rsidRDefault="005C11BA" w:rsidP="005C11BA">
      <w:pPr>
        <w:rPr>
          <w:sz w:val="2"/>
          <w:szCs w:val="2"/>
          <w:lang w:val="lv-LV"/>
        </w:rPr>
      </w:pPr>
    </w:p>
    <w:p w:rsidR="005C11BA" w:rsidRDefault="005C11BA" w:rsidP="006F0BC6">
      <w:pPr>
        <w:pStyle w:val="ListParagraph"/>
        <w:numPr>
          <w:ilvl w:val="0"/>
          <w:numId w:val="2"/>
        </w:numPr>
        <w:shd w:val="clear" w:color="auto" w:fill="FFFFFF"/>
        <w:tabs>
          <w:tab w:val="left" w:pos="851"/>
        </w:tabs>
        <w:spacing w:before="5" w:line="274" w:lineRule="exact"/>
        <w:ind w:left="0" w:firstLine="567"/>
        <w:jc w:val="both"/>
      </w:pPr>
      <w:r>
        <w:rPr>
          <w:color w:val="000000"/>
          <w:spacing w:val="-4"/>
          <w:szCs w:val="25"/>
          <w:lang w:val="lv-LV"/>
        </w:rPr>
        <w:t xml:space="preserve">azartspēļu organizēšanas licences apliecinātu kopiju; </w:t>
      </w:r>
    </w:p>
    <w:p w:rsidR="005C11BA" w:rsidRPr="00C812F6" w:rsidRDefault="005C11BA" w:rsidP="006F0BC6">
      <w:pPr>
        <w:pStyle w:val="ListParagraph"/>
        <w:numPr>
          <w:ilvl w:val="0"/>
          <w:numId w:val="1"/>
        </w:numPr>
        <w:shd w:val="clear" w:color="auto" w:fill="FFFFFF"/>
        <w:tabs>
          <w:tab w:val="left" w:pos="851"/>
        </w:tabs>
        <w:spacing w:line="274" w:lineRule="exact"/>
        <w:ind w:left="0" w:firstLine="567"/>
        <w:jc w:val="both"/>
        <w:rPr>
          <w:lang w:val="lv-LV"/>
        </w:rPr>
      </w:pPr>
      <w:r>
        <w:rPr>
          <w:color w:val="000000"/>
          <w:spacing w:val="-2"/>
          <w:szCs w:val="25"/>
          <w:lang w:val="lv-LV"/>
        </w:rPr>
        <w:t xml:space="preserve">dokumentus (to kopijas), kas apliecina īpašuma tiesības uz telpām, kurās plānots atvērt </w:t>
      </w:r>
      <w:r>
        <w:rPr>
          <w:color w:val="000000"/>
          <w:spacing w:val="6"/>
          <w:szCs w:val="25"/>
          <w:lang w:val="lv-LV"/>
        </w:rPr>
        <w:t xml:space="preserve">kazino, un telpu </w:t>
      </w:r>
      <w:r>
        <w:rPr>
          <w:color w:val="000000"/>
          <w:spacing w:val="2"/>
          <w:szCs w:val="25"/>
          <w:lang w:val="lv-LV"/>
        </w:rPr>
        <w:t xml:space="preserve">īpašnieka rakstveida  apliecinājumu par piekrišanu  atvērt  </w:t>
      </w:r>
      <w:r>
        <w:rPr>
          <w:color w:val="000000"/>
          <w:spacing w:val="6"/>
          <w:szCs w:val="25"/>
          <w:lang w:val="lv-LV"/>
        </w:rPr>
        <w:t>kazino</w:t>
      </w:r>
      <w:r>
        <w:rPr>
          <w:color w:val="000000"/>
          <w:spacing w:val="2"/>
          <w:szCs w:val="25"/>
          <w:lang w:val="lv-LV"/>
        </w:rPr>
        <w:t xml:space="preserve">  šajās </w:t>
      </w:r>
      <w:r>
        <w:rPr>
          <w:color w:val="000000"/>
          <w:spacing w:val="-1"/>
          <w:szCs w:val="25"/>
          <w:lang w:val="lv-LV"/>
        </w:rPr>
        <w:t xml:space="preserve">telpās vai dokumentus (to kopijas), kas </w:t>
      </w:r>
      <w:r>
        <w:rPr>
          <w:color w:val="000000"/>
          <w:szCs w:val="25"/>
          <w:lang w:val="lv-LV"/>
        </w:rPr>
        <w:t xml:space="preserve">pierāda iesniedzēja tiesības lietot telpas vai apliecina iespēju iegūt tiesības lietot telpas, kurās </w:t>
      </w:r>
      <w:r>
        <w:rPr>
          <w:color w:val="000000"/>
          <w:spacing w:val="-2"/>
          <w:szCs w:val="25"/>
          <w:lang w:val="lv-LV"/>
        </w:rPr>
        <w:t xml:space="preserve">paredzēts atvērt </w:t>
      </w:r>
      <w:r>
        <w:rPr>
          <w:color w:val="000000"/>
          <w:spacing w:val="6"/>
          <w:szCs w:val="25"/>
          <w:lang w:val="lv-LV"/>
        </w:rPr>
        <w:t>kazino</w:t>
      </w:r>
      <w:r>
        <w:rPr>
          <w:color w:val="000000"/>
          <w:spacing w:val="4"/>
          <w:szCs w:val="25"/>
          <w:lang w:val="lv-LV"/>
        </w:rPr>
        <w:t xml:space="preserve"> kopā ar telpu īpašuma tiesības apliecinošiem dokumentiem (to kopijām). Ja persona, kura </w:t>
      </w:r>
      <w:r>
        <w:rPr>
          <w:color w:val="000000"/>
          <w:szCs w:val="25"/>
          <w:lang w:val="lv-LV"/>
        </w:rPr>
        <w:t xml:space="preserve">parakstījusi dokumentu, kas apliecina iespēju iegūt tiesības lietot telpas, nav telpu īpašnieks, </w:t>
      </w:r>
      <w:r>
        <w:rPr>
          <w:color w:val="000000"/>
          <w:spacing w:val="-5"/>
          <w:szCs w:val="25"/>
          <w:lang w:val="lv-LV"/>
        </w:rPr>
        <w:t xml:space="preserve">papildus iesniedzams telpu īpašnieka rakstveida apliecinājums par piekrišanu atvērt </w:t>
      </w:r>
      <w:r>
        <w:rPr>
          <w:color w:val="000000"/>
          <w:spacing w:val="6"/>
          <w:szCs w:val="25"/>
          <w:lang w:val="lv-LV"/>
        </w:rPr>
        <w:t>kazino</w:t>
      </w:r>
      <w:r>
        <w:rPr>
          <w:color w:val="000000"/>
          <w:spacing w:val="-4"/>
          <w:szCs w:val="25"/>
          <w:lang w:val="lv-LV"/>
        </w:rPr>
        <w:t xml:space="preserve"> šajās telpās.</w:t>
      </w:r>
    </w:p>
    <w:p w:rsidR="005C11BA" w:rsidRPr="00C812F6" w:rsidRDefault="005C11BA" w:rsidP="006F0BC6">
      <w:pPr>
        <w:shd w:val="clear" w:color="auto" w:fill="FFFFFF"/>
        <w:spacing w:line="274" w:lineRule="exact"/>
        <w:ind w:right="62" w:firstLine="567"/>
        <w:jc w:val="both"/>
        <w:rPr>
          <w:lang w:val="lv-LV"/>
        </w:rPr>
      </w:pPr>
      <w:r>
        <w:rPr>
          <w:color w:val="000000"/>
          <w:spacing w:val="-4"/>
          <w:szCs w:val="25"/>
          <w:lang w:val="lv-LV"/>
        </w:rPr>
        <w:t xml:space="preserve">Saskaņā ar </w:t>
      </w:r>
      <w:r w:rsidR="00FB55D8">
        <w:rPr>
          <w:color w:val="000000"/>
          <w:spacing w:val="-4"/>
          <w:szCs w:val="25"/>
          <w:lang w:val="lv-LV"/>
        </w:rPr>
        <w:t>l</w:t>
      </w:r>
      <w:r>
        <w:rPr>
          <w:color w:val="000000"/>
          <w:spacing w:val="-4"/>
          <w:szCs w:val="25"/>
          <w:lang w:val="lv-LV"/>
        </w:rPr>
        <w:t xml:space="preserve">ikuma 42.panta otro daļu pašvaldība izvērtē iesniegumā minētās azartspēļu vietas atbilstību šā likuma 41.panta otrajā daļā noteiktajiem ierobežojumiem. Ja iesniegumā norādīta vieta, uz kuru attiecas vismaz viens no šā </w:t>
      </w:r>
      <w:r>
        <w:rPr>
          <w:color w:val="000000"/>
          <w:spacing w:val="-5"/>
          <w:szCs w:val="25"/>
          <w:lang w:val="lv-LV"/>
        </w:rPr>
        <w:t>likuma 41.panta otrajā daļā noteiktajiem ierobežojumiem, pašvaldība atsaka atļaujas izsniegšanu.</w:t>
      </w:r>
    </w:p>
    <w:p w:rsidR="005C11BA" w:rsidRDefault="005C11BA" w:rsidP="006F0BC6">
      <w:pPr>
        <w:shd w:val="clear" w:color="auto" w:fill="FFFFFF"/>
        <w:spacing w:line="274" w:lineRule="exact"/>
        <w:ind w:right="62" w:firstLine="567"/>
        <w:jc w:val="both"/>
        <w:rPr>
          <w:lang w:val="lv-LV"/>
        </w:rPr>
      </w:pPr>
      <w:r>
        <w:rPr>
          <w:color w:val="000000"/>
          <w:spacing w:val="-3"/>
          <w:szCs w:val="25"/>
          <w:lang w:val="lv-LV"/>
        </w:rPr>
        <w:t xml:space="preserve">Saskaņā ar </w:t>
      </w:r>
      <w:r w:rsidR="00FB55D8">
        <w:rPr>
          <w:color w:val="000000"/>
          <w:spacing w:val="-3"/>
          <w:szCs w:val="25"/>
          <w:lang w:val="lv-LV"/>
        </w:rPr>
        <w:t>l</w:t>
      </w:r>
      <w:r>
        <w:rPr>
          <w:color w:val="000000"/>
          <w:spacing w:val="-3"/>
          <w:szCs w:val="25"/>
          <w:lang w:val="lv-LV"/>
        </w:rPr>
        <w:t xml:space="preserve">ikuma 42.panta trešo daļu  </w:t>
      </w:r>
      <w:r>
        <w:rPr>
          <w:lang w:val="lv-LV"/>
        </w:rPr>
        <w:t>pašvaldības dome papildus izvērtē to, vai azartspēļu organizēšana konkrētajā vietā nerada būtisku valsts un attiecīgās administratīvās teritorijas iedzīvotāju interešu aizskārumu.</w:t>
      </w:r>
    </w:p>
    <w:p w:rsidR="005C11BA" w:rsidRPr="00C812F6" w:rsidRDefault="005C11BA" w:rsidP="006F0BC6">
      <w:pPr>
        <w:shd w:val="clear" w:color="auto" w:fill="FFFFFF"/>
        <w:spacing w:line="274" w:lineRule="exact"/>
        <w:ind w:right="62" w:firstLine="567"/>
        <w:jc w:val="both"/>
        <w:rPr>
          <w:lang w:val="lv-LV"/>
        </w:rPr>
      </w:pPr>
      <w:r>
        <w:rPr>
          <w:lang w:val="lv-LV"/>
        </w:rPr>
        <w:t xml:space="preserve">Tādējādi, lemjot par atteikumu atvērt spēļu zāli, pašvaldībai ir dota zināma rīcības brīvība, novērtējot, vai konkrētajā gadījumā būtu saskatāms būtisks attiecīgās administratīvās teritorijas interešu aizskārums, ja spēļu zāle iecerētajā vietā tiks atvērta. Jēdziens „būtisks iedzīvotāju interešu aizskārums” ir atklāts juridisks jēdziens (sk. Augstākās tiesas 2010.gada 18.jūnija sprieduma lietā Nr.SKA-289/2010 7.punkts). Tas iekļauts likumā, lai pašvaldībai būtu iespējams novērtēt iespējamos azartspēļu organizēšanas vietas atrašanās riskus savā administratīvajā teritorijā un tos samazināt (Augstākās tiesas 2010.gada 18.jūnija sprieduma lietā Nr.SKA-289/2010 8.punkts). </w:t>
      </w:r>
    </w:p>
    <w:p w:rsidR="005C11BA" w:rsidRDefault="005C11BA" w:rsidP="006F0BC6">
      <w:pPr>
        <w:ind w:firstLine="567"/>
        <w:jc w:val="both"/>
        <w:rPr>
          <w:lang w:val="lv-LV"/>
        </w:rPr>
      </w:pPr>
      <w:r>
        <w:rPr>
          <w:lang w:val="lv-LV"/>
        </w:rPr>
        <w:t xml:space="preserve">Administratīvā apgabaltiesa 2013.gada 31.maija spriedumā lietā Nr.A42452207 [17] punktā norādīja, ka (..) no Azartspēļu un izložu likumā ietvertā regulējuma (tostarp 42.panta trešās daļas) nepārprotami ir redzama likumdevēja griba ierobežot azartspēļu izplatību, lai samazinātu no azartspēlēm atkarīgo personu skaitu un nepieļautu šī skaita palielināšanos. Vispārzināms ir fakts, ka aizraušanās ar azartspēlēm var radīt personas psiholoģisku atkarību, kas tiek atzīta par slimību. Azartspēļu atkarība rada sekas ne tikai attiecībā uz konkrētu personu, bet arī pārējiem sabiedrības locekļiem, jo īpaši – atkarīgās personas tuviniekiem. </w:t>
      </w:r>
    </w:p>
    <w:p w:rsidR="005C11BA" w:rsidRPr="00A91BF8" w:rsidRDefault="005C11BA" w:rsidP="006F0BC6">
      <w:pPr>
        <w:ind w:firstLine="567"/>
        <w:jc w:val="both"/>
        <w:rPr>
          <w:color w:val="000000"/>
          <w:lang w:val="lv-LV"/>
        </w:rPr>
      </w:pPr>
      <w:r>
        <w:rPr>
          <w:lang w:val="lv-LV"/>
        </w:rPr>
        <w:t xml:space="preserve">Nolūkā noskaidrot iedzīvotāju viedokli jautājumā par kazino atvēršanu ēkā Sakņu </w:t>
      </w:r>
      <w:r w:rsidR="006F0BC6">
        <w:rPr>
          <w:lang w:val="lv-LV"/>
        </w:rPr>
        <w:t xml:space="preserve">     </w:t>
      </w:r>
      <w:r>
        <w:rPr>
          <w:lang w:val="lv-LV"/>
        </w:rPr>
        <w:t xml:space="preserve">ielā 15, Daugavpilī, un to, vai kazino atvēršana </w:t>
      </w:r>
      <w:r>
        <w:rPr>
          <w:color w:val="000000"/>
          <w:lang w:val="lv-LV"/>
        </w:rPr>
        <w:t xml:space="preserve">nerada būtisku iedzīvotāju interešu aizskārumu, </w:t>
      </w:r>
      <w:r>
        <w:rPr>
          <w:lang w:val="lv-LV"/>
        </w:rPr>
        <w:t xml:space="preserve">pašvaldība rīkoja aptauju </w:t>
      </w:r>
      <w:r>
        <w:rPr>
          <w:color w:val="000000"/>
          <w:lang w:val="lv-LV"/>
        </w:rPr>
        <w:t>laika posmā no 2016.gada 8.augusta līdz 2016.gada 18.augustam</w:t>
      </w:r>
      <w:r>
        <w:rPr>
          <w:rFonts w:ascii="Tahoma" w:hAnsi="Tahoma" w:cs="Tahoma"/>
          <w:color w:val="000000"/>
          <w:lang w:val="lv-LV"/>
        </w:rPr>
        <w:t xml:space="preserve"> </w:t>
      </w:r>
      <w:r w:rsidRPr="00054C9B">
        <w:rPr>
          <w:color w:val="000000"/>
          <w:lang w:val="lv-LV"/>
        </w:rPr>
        <w:t>un no 2016.gada 8.septembra līdz 2016.gada 18.septembrim</w:t>
      </w:r>
      <w:r>
        <w:rPr>
          <w:color w:val="000000"/>
          <w:lang w:val="lv-LV"/>
        </w:rPr>
        <w:t xml:space="preserve">. </w:t>
      </w:r>
      <w:r w:rsidR="001E47AD">
        <w:rPr>
          <w:lang w:val="lv-LV"/>
        </w:rPr>
        <w:t>Kopā ir saņemtas 797 anketas</w:t>
      </w:r>
      <w:r w:rsidR="009C65C1">
        <w:rPr>
          <w:lang w:val="lv-LV"/>
        </w:rPr>
        <w:t>, no tām “p</w:t>
      </w:r>
      <w:r w:rsidR="001E47AD">
        <w:rPr>
          <w:lang w:val="lv-LV"/>
        </w:rPr>
        <w:t xml:space="preserve">ar” izteikušies 288 iedzīvotāji, “pret” 509 pilsētnieki, kas </w:t>
      </w:r>
      <w:r w:rsidR="001E47AD">
        <w:rPr>
          <w:color w:val="000000"/>
          <w:lang w:val="lv-LV"/>
        </w:rPr>
        <w:t>liecina par to, ka pārliecinošs vairākums iedzīvotāju izteicās „pret” kazino atvēršanu.</w:t>
      </w:r>
      <w:r w:rsidR="00374BDC" w:rsidRPr="00374BDC">
        <w:rPr>
          <w:lang w:val="lv-LV"/>
        </w:rPr>
        <w:t xml:space="preserve"> </w:t>
      </w:r>
      <w:r w:rsidR="00374BDC">
        <w:rPr>
          <w:lang w:val="lv-LV"/>
        </w:rPr>
        <w:t xml:space="preserve">Dome, ņemot vērā </w:t>
      </w:r>
      <w:r w:rsidR="00374BDC">
        <w:rPr>
          <w:lang w:val="lv-LV"/>
        </w:rPr>
        <w:lastRenderedPageBreak/>
        <w:t>aptaujas rezultātus, konstatējot, ka esošo spēļu zāļu skaits Daugavpilī ir pietiekams, ir iecerējusi  samazināt esošo spēļu zāļu skaitu, neizdodot jaunas atļaujas spēļu zāļu vai kazino atvēršanai.</w:t>
      </w:r>
    </w:p>
    <w:p w:rsidR="005C11BA" w:rsidRDefault="005C11BA" w:rsidP="006F0BC6">
      <w:pPr>
        <w:ind w:firstLine="567"/>
        <w:jc w:val="both"/>
        <w:rPr>
          <w:lang w:val="lv-LV"/>
        </w:rPr>
      </w:pPr>
      <w:r>
        <w:rPr>
          <w:lang w:val="lv-LV"/>
        </w:rPr>
        <w:t>Pašvaldība izvērtē, ka kazino atvēršana</w:t>
      </w:r>
      <w:r w:rsidRPr="002D3645">
        <w:rPr>
          <w:lang w:val="lv-LV"/>
        </w:rPr>
        <w:t xml:space="preserve"> i</w:t>
      </w:r>
      <w:r>
        <w:rPr>
          <w:lang w:val="lv-LV"/>
        </w:rPr>
        <w:t xml:space="preserve">ecerētajā </w:t>
      </w:r>
      <w:r w:rsidRPr="002D3645">
        <w:rPr>
          <w:lang w:val="lv-LV"/>
        </w:rPr>
        <w:t>vietā būtiski skartu ne tikai vietējās administratīvās teritorijas iedzīvotāju intereses, bet arī citu administratīvo teritoriju iedzīvotāju intereses</w:t>
      </w:r>
      <w:r>
        <w:rPr>
          <w:lang w:val="lv-LV"/>
        </w:rPr>
        <w:t>.</w:t>
      </w:r>
      <w:r w:rsidR="009C65C1">
        <w:rPr>
          <w:lang w:val="lv-LV"/>
        </w:rPr>
        <w:t xml:space="preserve"> </w:t>
      </w:r>
      <w:r>
        <w:rPr>
          <w:lang w:val="lv-LV"/>
        </w:rPr>
        <w:t>Pa Viestura ielu gar ieeju iecerētā kazino vietā ikdienā pārvietojas liels cilvēku, tai skaitā nepilngadīgo personu, skaits, ejot  uz tirdzniecības centru „Ditton”, lielveikalu „Maxima” , „Ditton” tirgu, līdz ar minēto kazino vieta viegli saskatāma un pieejama lielai garāmgājēju plūsmai.</w:t>
      </w:r>
    </w:p>
    <w:p w:rsidR="005C11BA" w:rsidRDefault="005C11BA" w:rsidP="006F0BC6">
      <w:pPr>
        <w:ind w:firstLine="567"/>
        <w:jc w:val="both"/>
        <w:rPr>
          <w:lang w:val="lv-LV"/>
        </w:rPr>
      </w:pPr>
      <w:r>
        <w:rPr>
          <w:lang w:val="lv-LV"/>
        </w:rPr>
        <w:t>Tiek ņemts vērā, ka aptaujā piedalījās arī citu administratīvo teritoriju iedzīvotāji, kas liecina par to, ka kazino atvēršana Daugavpilī skars visas valsts iedzīvotāju intereses. Saskaņā ar Azartspēļu un izložu inspekcijas mājas lapā sniegto informāciju nevienā Latvijas pilsētā nav kazino, izņemot Rīgā, kur ir atvērti pieci kazino, kas ir pietiekami, lai tiktu sniegts šāda veida pakalpojums.</w:t>
      </w:r>
    </w:p>
    <w:p w:rsidR="005C11BA" w:rsidRDefault="005C11BA" w:rsidP="006F0BC6">
      <w:pPr>
        <w:ind w:firstLine="567"/>
        <w:jc w:val="both"/>
        <w:rPr>
          <w:lang w:val="lv-LV"/>
        </w:rPr>
      </w:pPr>
      <w:r>
        <w:rPr>
          <w:lang w:val="lv-LV"/>
        </w:rPr>
        <w:t>Iepretim izvēlētajai vietai Sakņu ielā 14/16, Daugavpilī, atrodas dzīvojamā māja, kuras iemītnieki izteicās pret kazino atvēršanu, pamatojot ar to, ka naktīs pie šīs ēkas uzturas un trokšņo cilvēki alkohola reibumā un nemitīgi dzirdama automašīnu rūkoņa. Bez tam, arī citu apkārt esošo dzīvojamo māju iedzīvotāji neatbalstīja  ieceri atvērt kazino esošajā spēļu zālē.</w:t>
      </w:r>
    </w:p>
    <w:p w:rsidR="005C11BA" w:rsidRPr="002E50E7" w:rsidRDefault="005C11BA" w:rsidP="006F0BC6">
      <w:pPr>
        <w:ind w:firstLine="567"/>
        <w:jc w:val="both"/>
        <w:rPr>
          <w:lang w:val="lv-LV"/>
        </w:rPr>
      </w:pPr>
      <w:r>
        <w:rPr>
          <w:lang w:val="lv-LV"/>
        </w:rPr>
        <w:t xml:space="preserve">100 metru attālumā no ēkas Sakņu ielā 15, Daugavpilī, atrodas kinoteātris „Silver Screen”, 50 metru attālumā atrodas </w:t>
      </w:r>
      <w:r w:rsidRPr="002E50E7">
        <w:rPr>
          <w:color w:val="000000"/>
          <w:lang w:val="lv-LV"/>
        </w:rPr>
        <w:t>Daugavpils Svētā Pētera ķēdēs Romas katoļu baznīca</w:t>
      </w:r>
      <w:r>
        <w:rPr>
          <w:color w:val="000000"/>
          <w:lang w:val="lv-LV"/>
        </w:rPr>
        <w:t xml:space="preserve">, līdz ar minēto </w:t>
      </w:r>
      <w:r>
        <w:rPr>
          <w:lang w:val="lv-LV"/>
        </w:rPr>
        <w:t xml:space="preserve">kazino </w:t>
      </w:r>
      <w:r w:rsidRPr="002E50E7">
        <w:rPr>
          <w:lang w:val="lv-LV"/>
        </w:rPr>
        <w:t>izviet</w:t>
      </w:r>
      <w:r>
        <w:rPr>
          <w:lang w:val="lv-LV"/>
        </w:rPr>
        <w:t xml:space="preserve">ošana </w:t>
      </w:r>
      <w:r w:rsidRPr="002E50E7">
        <w:rPr>
          <w:lang w:val="lv-LV"/>
        </w:rPr>
        <w:t>asociētos ar vērtību ziņā nesaderīgām iestādēm (reliģ</w:t>
      </w:r>
      <w:r>
        <w:rPr>
          <w:lang w:val="lv-LV"/>
        </w:rPr>
        <w:t>ijas, kultūras u.tml. iestādes).</w:t>
      </w:r>
    </w:p>
    <w:p w:rsidR="005C11BA" w:rsidRDefault="005C11BA" w:rsidP="00305F7D">
      <w:pPr>
        <w:ind w:firstLine="567"/>
        <w:jc w:val="both"/>
        <w:rPr>
          <w:lang w:val="lv-LV"/>
        </w:rPr>
      </w:pPr>
      <w:r>
        <w:rPr>
          <w:lang w:val="lv-LV"/>
        </w:rPr>
        <w:t>T</w:t>
      </w:r>
      <w:r w:rsidRPr="002D3645">
        <w:rPr>
          <w:lang w:val="lv-LV"/>
        </w:rPr>
        <w:t>ādējādi pašvaldības atteikums pamatots ar vēlmi nepieļaut, lai sabiedrība dotu priekšroku dalībai azartspēlēs, salīdzinot ar citām brīvā laika pavadīšanas iespējām.</w:t>
      </w:r>
    </w:p>
    <w:p w:rsidR="005C11BA" w:rsidRDefault="005C11BA" w:rsidP="006F0BC6">
      <w:pPr>
        <w:ind w:firstLine="567"/>
        <w:jc w:val="both"/>
        <w:rPr>
          <w:color w:val="000000"/>
          <w:szCs w:val="25"/>
          <w:lang w:val="lv-LV"/>
        </w:rPr>
      </w:pPr>
      <w:r>
        <w:rPr>
          <w:lang w:val="lv-LV"/>
        </w:rPr>
        <w:t>Kā atzīst Augstākās tiesas Senāts 2010.gada 18.jūnija spriedumā lietā Nr.A42545506 SKA-289/2010 [8] punktā, pašvaldību kompetence ierobežot azartspēļu organizēšanu, ja tās rada iedzīvotāju interešu būtisku aizskārumu, noteikta ar grozījumiem Azartspēļu un izložu likumā, kuri stājās spēkā 2006.gada 4.jūlijā</w:t>
      </w:r>
      <w:r>
        <w:rPr>
          <w:rFonts w:ascii="Korinna LRS" w:hAnsi="Korinna LRS"/>
          <w:lang w:val="lv-LV"/>
        </w:rPr>
        <w:t>. Grozījumi vērsti citastarp uz sabiedrības interešu līdzsvarošanu – vēlmi ierobežot azartspēles no vienas puses, un vēlmi izmantot šos pakalpojumus un organizēt azartspēles no otras puses (</w:t>
      </w:r>
      <w:r>
        <w:rPr>
          <w:rFonts w:ascii="Korinna LRS" w:hAnsi="Korinna LRS"/>
          <w:i/>
          <w:lang w:val="lv-LV"/>
        </w:rPr>
        <w:t xml:space="preserve">sk. </w:t>
      </w:r>
      <w:hyperlink r:id="rId8" w:history="1">
        <w:r w:rsidRPr="00A91BF8">
          <w:rPr>
            <w:rStyle w:val="Hyperlink"/>
            <w:rFonts w:ascii="Korinna LRS" w:hAnsi="Korinna LRS"/>
            <w:i/>
            <w:lang w:val="lv-LV"/>
          </w:rPr>
          <w:t>http://www.saeima.lv/saeima8/lasa?dd=LP1419_0</w:t>
        </w:r>
      </w:hyperlink>
      <w:r>
        <w:rPr>
          <w:rFonts w:ascii="Korinna LRS" w:hAnsi="Korinna LRS"/>
          <w:lang w:val="lv-LV"/>
        </w:rPr>
        <w:t>). No minētā ir secināms, ka likumdevējs, apzinoties sabiedrības atšķirīgo attieksmi pret azartspēlēm un azartspēļu negatīvo ietekmi, vēlējās līdzsvarot to personu intereses, kuri piedāvā azartspēļu pakalpojumus un apzināti tos izmanto, ar tās sabiedrības daļas interesēm, kurai šādi pakalpojumi nav pieņemami un ir viņu intereses aizskaroši. Grozījumi ir vērsti tieši uz tās sabiedrības daļas interešu aizsardzību, kuras nevajadzīgi un negatīvi varētu tikt ietekmētas, jo iepriekš šāda aizsardzība nav bijusi pietiekama. Likumdevējs tādēļ ir pieļāvis, ka attiecīgo pakalpojumu vietu skaits var tikt būtiski samazināts un izvietojums pārstrukturēts atbilstoši sabiedrības interesēm. Tā kā vietējā pašvaldība objektīvi visla</w:t>
      </w:r>
      <w:r>
        <w:rPr>
          <w:rFonts w:ascii="Korinna LRS" w:hAnsi="Korinna LRS" w:hint="eastAsia"/>
          <w:lang w:val="lv-LV"/>
        </w:rPr>
        <w:t>b</w:t>
      </w:r>
      <w:r>
        <w:rPr>
          <w:rFonts w:ascii="Korinna LRS" w:hAnsi="Korinna LRS"/>
          <w:lang w:val="lv-LV"/>
        </w:rPr>
        <w:t xml:space="preserve">āk pārzina attiecīgās administratīvās teritorijas apstākļus un atbilstoši tiem spēj novērtēt attiecīgas darbības riskus, kompetence izšķirt jautājumu, kuros gadījumos šis komercdarbības veids ir atļaujams konkrētā vietā un kuros nav, ir nodota tieši pašvaldībām. </w:t>
      </w:r>
      <w:r>
        <w:rPr>
          <w:lang w:val="lv-LV"/>
        </w:rPr>
        <w:t xml:space="preserve">(…) Savukārt, apspriežot tiesību normas redakciju tās pieņemtajā variantā, citastarp tika norādīts, ka </w:t>
      </w:r>
      <w:r>
        <w:rPr>
          <w:rFonts w:ascii="Korinna LRS" w:hAnsi="Korinna LRS"/>
          <w:lang w:val="lv-LV"/>
        </w:rPr>
        <w:t>pašvaldībai ir tiesības ievērot jebkuru principu.</w:t>
      </w:r>
      <w:r w:rsidRPr="00AF52D0">
        <w:rPr>
          <w:color w:val="000000"/>
          <w:szCs w:val="25"/>
          <w:lang w:val="lv-LV"/>
        </w:rPr>
        <w:t xml:space="preserve"> </w:t>
      </w:r>
    </w:p>
    <w:p w:rsidR="005C11BA" w:rsidRPr="00A91BF8" w:rsidRDefault="005C11BA" w:rsidP="006F0BC6">
      <w:pPr>
        <w:ind w:firstLine="567"/>
        <w:jc w:val="both"/>
        <w:rPr>
          <w:rFonts w:ascii="Korinna LRS" w:hAnsi="Korinna LRS"/>
          <w:lang w:val="lv-LV"/>
        </w:rPr>
      </w:pPr>
      <w:r>
        <w:rPr>
          <w:color w:val="000000"/>
          <w:szCs w:val="25"/>
          <w:lang w:val="lv-LV"/>
        </w:rPr>
        <w:t>Ņemot vērā konstatēto, atbilstoši ar</w:t>
      </w:r>
      <w:r w:rsidRPr="00DE177A">
        <w:rPr>
          <w:color w:val="000000"/>
          <w:szCs w:val="25"/>
          <w:lang w:val="lv-LV"/>
        </w:rPr>
        <w:t xml:space="preserve"> </w:t>
      </w:r>
      <w:r w:rsidRPr="00DE177A">
        <w:rPr>
          <w:lang w:val="lv-LV"/>
        </w:rPr>
        <w:t>Daugavpils pilsētas domes 2013.gada 12.decembra lēmumu Nr.594 apstiprinātajām vadlīnijām azartspēļu regulēšanai Daugavpils pilsētas pašvaldībā</w:t>
      </w:r>
      <w:r>
        <w:rPr>
          <w:color w:val="000000"/>
          <w:szCs w:val="25"/>
          <w:lang w:val="lv-LV"/>
        </w:rPr>
        <w:t xml:space="preserve"> konstatējami šādi kritēriji būtiskam</w:t>
      </w:r>
      <w:r w:rsidRPr="00DE177A">
        <w:rPr>
          <w:color w:val="000000"/>
          <w:szCs w:val="25"/>
          <w:lang w:val="lv-LV"/>
        </w:rPr>
        <w:t xml:space="preserve"> valsts un Daugavpils pilsētas administratīvās teritorijas </w:t>
      </w:r>
      <w:r>
        <w:rPr>
          <w:color w:val="000000"/>
          <w:szCs w:val="25"/>
          <w:lang w:val="lv-LV"/>
        </w:rPr>
        <w:t>iedzīvotāju interešu aizskārumam:</w:t>
      </w:r>
    </w:p>
    <w:p w:rsidR="005C11BA" w:rsidRPr="00AF52D0" w:rsidRDefault="005C11BA" w:rsidP="006F0BC6">
      <w:pPr>
        <w:pStyle w:val="ListParagraph"/>
        <w:numPr>
          <w:ilvl w:val="0"/>
          <w:numId w:val="5"/>
        </w:numPr>
        <w:ind w:left="0" w:firstLine="567"/>
        <w:jc w:val="both"/>
        <w:rPr>
          <w:lang w:val="lv-LV"/>
        </w:rPr>
      </w:pPr>
      <w:r w:rsidRPr="00AF52D0">
        <w:rPr>
          <w:lang w:val="lv-LV"/>
        </w:rPr>
        <w:t>iedzīvotāju publiskās apspriešanas rezultātā konstatēt</w:t>
      </w:r>
      <w:r>
        <w:rPr>
          <w:lang w:val="lv-LV"/>
        </w:rPr>
        <w:t>s pārsvarā negatīvs</w:t>
      </w:r>
      <w:r w:rsidRPr="00AF52D0">
        <w:rPr>
          <w:lang w:val="lv-LV"/>
        </w:rPr>
        <w:t xml:space="preserve"> viedokli</w:t>
      </w:r>
      <w:r>
        <w:rPr>
          <w:lang w:val="lv-LV"/>
        </w:rPr>
        <w:t>s</w:t>
      </w:r>
      <w:r w:rsidRPr="00AF52D0">
        <w:rPr>
          <w:lang w:val="lv-LV"/>
        </w:rPr>
        <w:t>;</w:t>
      </w:r>
    </w:p>
    <w:p w:rsidR="005C11BA" w:rsidRPr="00AF52D0" w:rsidRDefault="005C11BA" w:rsidP="006F0BC6">
      <w:pPr>
        <w:pStyle w:val="ListParagraph"/>
        <w:numPr>
          <w:ilvl w:val="0"/>
          <w:numId w:val="5"/>
        </w:numPr>
        <w:ind w:left="0" w:firstLine="567"/>
        <w:jc w:val="both"/>
        <w:rPr>
          <w:lang w:val="lv-LV"/>
        </w:rPr>
      </w:pPr>
      <w:r>
        <w:rPr>
          <w:lang w:val="lv-LV"/>
        </w:rPr>
        <w:t>sabiedrības kustības liela intensitāte</w:t>
      </w:r>
      <w:r w:rsidRPr="00AF52D0">
        <w:rPr>
          <w:lang w:val="lv-LV"/>
        </w:rPr>
        <w:t>, ja pastāv apstākļi, kas liecina, ka palielinās risks, ka var pieaugt tādu azartspēļu zālē nokļuvušo personu skaits, kurām tur nemaz nav bijis nolūka doties, un vieta nav saderīga ar citu organizāciju piedāvātajām vērtībām.</w:t>
      </w:r>
    </w:p>
    <w:p w:rsidR="005C11BA" w:rsidRDefault="005C11BA" w:rsidP="006F0BC6">
      <w:pPr>
        <w:ind w:firstLine="567"/>
        <w:jc w:val="both"/>
        <w:rPr>
          <w:rFonts w:ascii="Korinna LRS" w:hAnsi="Korinna LRS"/>
          <w:lang w:val="lv-LV"/>
        </w:rPr>
      </w:pPr>
    </w:p>
    <w:p w:rsidR="005C11BA" w:rsidRPr="00DE177A" w:rsidRDefault="005C11BA" w:rsidP="006F0BC6">
      <w:pPr>
        <w:shd w:val="clear" w:color="auto" w:fill="FFFFFF"/>
        <w:tabs>
          <w:tab w:val="left" w:pos="540"/>
          <w:tab w:val="left" w:pos="993"/>
        </w:tabs>
        <w:ind w:firstLine="567"/>
        <w:jc w:val="both"/>
        <w:rPr>
          <w:color w:val="000000"/>
          <w:szCs w:val="25"/>
          <w:lang w:val="lv-LV"/>
        </w:rPr>
      </w:pPr>
      <w:r>
        <w:rPr>
          <w:lang w:val="lv-LV"/>
        </w:rPr>
        <w:lastRenderedPageBreak/>
        <w:t>Jāņem vērā, ka t</w:t>
      </w:r>
      <w:r w:rsidRPr="00DE177A">
        <w:rPr>
          <w:lang w:val="lv-LV"/>
        </w:rPr>
        <w:t xml:space="preserve">elpās </w:t>
      </w:r>
      <w:r>
        <w:rPr>
          <w:lang w:val="lv-LV"/>
        </w:rPr>
        <w:t>Sakņu ielā 15, Daugavpilī,</w:t>
      </w:r>
      <w:r w:rsidRPr="00DE177A">
        <w:rPr>
          <w:lang w:val="lv-LV"/>
        </w:rPr>
        <w:t xml:space="preserve"> jau ir atvērta </w:t>
      </w:r>
      <w:r>
        <w:rPr>
          <w:lang w:val="lv-LV"/>
        </w:rPr>
        <w:t>SIA</w:t>
      </w:r>
      <w:r w:rsidRPr="003256A4">
        <w:rPr>
          <w:lang w:val="lv-LV"/>
        </w:rPr>
        <w:t xml:space="preserve"> “</w:t>
      </w:r>
      <w:r w:rsidRPr="003256A4">
        <w:rPr>
          <w:bCs/>
          <w:lang w:val="lv-LV"/>
        </w:rPr>
        <w:t>Olympic Casino Latvia</w:t>
      </w:r>
      <w:r w:rsidRPr="003256A4">
        <w:rPr>
          <w:lang w:val="lv-LV"/>
        </w:rPr>
        <w:t xml:space="preserve">” piederošā </w:t>
      </w:r>
      <w:r w:rsidRPr="00DE177A">
        <w:rPr>
          <w:lang w:val="lv-LV"/>
        </w:rPr>
        <w:t>spēļu zāle</w:t>
      </w:r>
      <w:r>
        <w:rPr>
          <w:lang w:val="lv-LV"/>
        </w:rPr>
        <w:t xml:space="preserve">, līdz ar to azartspēļu organizētāja intereses ir ievērotas. </w:t>
      </w:r>
    </w:p>
    <w:p w:rsidR="005C11BA" w:rsidRPr="00A91BF8" w:rsidRDefault="005C11BA" w:rsidP="006F0BC6">
      <w:pPr>
        <w:pStyle w:val="NormalWeb"/>
        <w:spacing w:before="0" w:beforeAutospacing="0" w:after="0" w:afterAutospacing="0"/>
        <w:ind w:firstLine="567"/>
        <w:jc w:val="both"/>
        <w:rPr>
          <w:rStyle w:val="Strong"/>
          <w:rFonts w:ascii="Times New Roman" w:hAnsi="Times New Roman"/>
          <w:lang w:val="lv-LV"/>
        </w:rPr>
      </w:pPr>
      <w:r w:rsidRPr="00A91BF8">
        <w:rPr>
          <w:rFonts w:ascii="Times New Roman" w:hAnsi="Times New Roman"/>
          <w:lang w:val="lv-LV"/>
        </w:rPr>
        <w:t>Pašvaldība tāpat ņem vērā, ka, piemēram, Igaunijā ir mazāks spēļu zāļu skaits. (..) Kaimiņvalstī pašlaik (2015.gadā) ir 60 kazino un spēļu zāles kopumā (piecreiz mazāk nekā Latvijā) ar apmēram 2200 spēļu automātiem (salīdzinājumam – Latvijā ap 8500) un 100 spēļu galdiem.</w:t>
      </w:r>
    </w:p>
    <w:p w:rsidR="005C11BA" w:rsidRPr="00E4670A" w:rsidRDefault="005C11BA" w:rsidP="006F0BC6">
      <w:pPr>
        <w:pStyle w:val="NormalWeb"/>
        <w:spacing w:before="0" w:beforeAutospacing="0" w:after="0" w:afterAutospacing="0"/>
        <w:ind w:firstLine="567"/>
        <w:jc w:val="both"/>
        <w:rPr>
          <w:lang w:val="lv-LV"/>
        </w:rPr>
      </w:pPr>
      <w:r w:rsidRPr="00A91BF8">
        <w:rPr>
          <w:rFonts w:ascii="Times New Roman" w:hAnsi="Times New Roman"/>
          <w:lang w:val="lv-LV"/>
        </w:rPr>
        <w:t>Igaunijā pēc Finanšu ministrijas un Azartspēļu nozares asociācijas pasūtījuma ik pēc diviem gadiem veic pētījumu “Igaunijas iedzīvotāju saistība ar azartspēlēm”. Tāds bija arī 2014.gadā. Tika aptaujāti 3500 cilvēki vecumā no 15 līdz 75 gadiem. Secināts, ka 50% kaut vienreiz pamēģinājuši azartspēles. 4% no Igaunijas iedzīvotājiem šajā vecuma grupā ir atkarīgi no azartspēlēm (7% no tiem, kas spēlējuši iepriekšējā gadā). 0,7% ir patoloģiski atkarīgi no azartspēlēm.</w:t>
      </w:r>
      <w:r w:rsidRPr="00A91BF8">
        <w:rPr>
          <w:rFonts w:ascii="Times New Roman" w:hAnsi="Times New Roman"/>
          <w:b/>
          <w:bCs/>
          <w:lang w:val="lv-LV"/>
        </w:rPr>
        <w:t xml:space="preserve"> </w:t>
      </w:r>
      <w:r w:rsidRPr="00A91BF8">
        <w:rPr>
          <w:rFonts w:ascii="Times New Roman" w:hAnsi="Times New Roman"/>
          <w:bCs/>
          <w:lang w:val="lv-LV"/>
        </w:rPr>
        <w:t xml:space="preserve">(..) </w:t>
      </w:r>
      <w:r w:rsidRPr="00A91BF8">
        <w:rPr>
          <w:rFonts w:ascii="Times New Roman" w:hAnsi="Times New Roman"/>
          <w:lang w:val="lv-LV"/>
        </w:rPr>
        <w:t>32% no azartspēļu atkarīgajiem ņēmuši ātros kredītus, no kuriem 61% grūti tos atdot (kopumā 8% Igaunijas iedzīvotāju ņēmuši ātros kredītus un 41% bijis grūti tos atdot).</w:t>
      </w:r>
      <w:r w:rsidR="00B30F4D" w:rsidRPr="00A91BF8">
        <w:rPr>
          <w:rFonts w:ascii="Times New Roman" w:hAnsi="Times New Roman"/>
          <w:lang w:val="lv-LV"/>
        </w:rPr>
        <w:t xml:space="preserve"> </w:t>
      </w:r>
      <w:r w:rsidRPr="00A91BF8">
        <w:rPr>
          <w:rFonts w:ascii="Times New Roman" w:hAnsi="Times New Roman"/>
          <w:lang w:val="lv-LV"/>
        </w:rPr>
        <w:t>Latvijā 2016.gada 1.jūlijā bija 321 azartspēļu zāle.</w:t>
      </w:r>
    </w:p>
    <w:p w:rsidR="005C11BA" w:rsidRPr="00C812F6" w:rsidRDefault="005C11BA" w:rsidP="006F0BC6">
      <w:pPr>
        <w:shd w:val="clear" w:color="auto" w:fill="FFFFFF"/>
        <w:spacing w:line="288" w:lineRule="exact"/>
        <w:ind w:right="43" w:firstLine="567"/>
        <w:jc w:val="both"/>
        <w:rPr>
          <w:lang w:val="lv-LV"/>
        </w:rPr>
      </w:pPr>
      <w:r>
        <w:rPr>
          <w:color w:val="000000"/>
          <w:spacing w:val="-3"/>
          <w:lang w:val="lv-LV"/>
        </w:rPr>
        <w:t xml:space="preserve">Ņemot vērā iepriekšminēto un pamatojoties uz </w:t>
      </w:r>
      <w:r>
        <w:rPr>
          <w:color w:val="000000"/>
          <w:spacing w:val="3"/>
          <w:lang w:val="lv-LV"/>
        </w:rPr>
        <w:t xml:space="preserve">Azartspēļu un izložu likuma 41.panta otro daļu, 42.panta pirmo, otro, trešo, ceturto un piekto daļu, Dome </w:t>
      </w:r>
      <w:r>
        <w:rPr>
          <w:color w:val="000000"/>
          <w:spacing w:val="-1"/>
          <w:lang w:val="lv-LV"/>
        </w:rPr>
        <w:t>nolemj</w:t>
      </w:r>
      <w:r>
        <w:rPr>
          <w:color w:val="000000"/>
          <w:spacing w:val="-2"/>
          <w:lang w:val="lv-LV"/>
        </w:rPr>
        <w:t xml:space="preserve"> atteikt </w:t>
      </w:r>
      <w:r w:rsidR="006743D2">
        <w:rPr>
          <w:color w:val="000000"/>
          <w:spacing w:val="-2"/>
          <w:lang w:val="lv-LV"/>
        </w:rPr>
        <w:t xml:space="preserve">           </w:t>
      </w:r>
      <w:r>
        <w:rPr>
          <w:color w:val="000000"/>
          <w:spacing w:val="-5"/>
          <w:szCs w:val="25"/>
          <w:lang w:val="lv-LV"/>
        </w:rPr>
        <w:t>SIA</w:t>
      </w:r>
      <w:r w:rsidR="00905ED0">
        <w:rPr>
          <w:color w:val="000000"/>
          <w:spacing w:val="-5"/>
          <w:szCs w:val="25"/>
          <w:lang w:val="lv-LV"/>
        </w:rPr>
        <w:t xml:space="preserve"> “</w:t>
      </w:r>
      <w:r>
        <w:rPr>
          <w:bCs/>
          <w:color w:val="000000"/>
          <w:lang w:val="lv-LV"/>
        </w:rPr>
        <w:t>Olympic Casino Latvia</w:t>
      </w:r>
      <w:r>
        <w:rPr>
          <w:color w:val="000000"/>
          <w:lang w:val="lv-LV"/>
        </w:rPr>
        <w:t>”, reģ.Nr.40003264397, juridiskā adrese</w:t>
      </w:r>
      <w:r w:rsidR="008A52F3">
        <w:rPr>
          <w:color w:val="000000"/>
          <w:lang w:val="lv-LV"/>
        </w:rPr>
        <w:t>:</w:t>
      </w:r>
      <w:r>
        <w:rPr>
          <w:color w:val="000000"/>
          <w:lang w:val="lv-LV"/>
        </w:rPr>
        <w:t xml:space="preserve"> Kronvalda bulvāris 3, Rīga, </w:t>
      </w:r>
      <w:r>
        <w:rPr>
          <w:color w:val="000000"/>
          <w:spacing w:val="-5"/>
          <w:szCs w:val="25"/>
          <w:lang w:val="lv-LV"/>
        </w:rPr>
        <w:t xml:space="preserve">atvērt </w:t>
      </w:r>
      <w:r>
        <w:rPr>
          <w:color w:val="000000"/>
          <w:lang w:val="lv-LV"/>
        </w:rPr>
        <w:t>kazino</w:t>
      </w:r>
      <w:r>
        <w:rPr>
          <w:color w:val="000000"/>
          <w:spacing w:val="6"/>
          <w:szCs w:val="25"/>
          <w:lang w:val="lv-LV"/>
        </w:rPr>
        <w:t xml:space="preserve"> Sakņu ielā 15, Daugavpilī.</w:t>
      </w:r>
    </w:p>
    <w:p w:rsidR="005C11BA" w:rsidRDefault="005C11BA" w:rsidP="005C11BA">
      <w:pPr>
        <w:rPr>
          <w:b/>
          <w:color w:val="FF0000"/>
          <w:lang w:val="lv-LV"/>
        </w:rPr>
      </w:pPr>
    </w:p>
    <w:p w:rsidR="005C11BA" w:rsidRDefault="005C11BA" w:rsidP="005C11BA">
      <w:pPr>
        <w:shd w:val="clear" w:color="auto" w:fill="FFFFFF"/>
        <w:spacing w:before="274" w:line="274" w:lineRule="exact"/>
        <w:ind w:right="14"/>
        <w:jc w:val="both"/>
        <w:rPr>
          <w:color w:val="000000"/>
          <w:spacing w:val="-4"/>
          <w:szCs w:val="25"/>
          <w:lang w:val="lv-LV"/>
        </w:rPr>
      </w:pPr>
      <w:r>
        <w:rPr>
          <w:color w:val="000000"/>
          <w:spacing w:val="-4"/>
          <w:szCs w:val="25"/>
          <w:lang w:val="lv-LV"/>
        </w:rPr>
        <w:t xml:space="preserve">Domes priekšsēdētājs                 </w:t>
      </w:r>
      <w:r w:rsidR="000B705A">
        <w:rPr>
          <w:i/>
        </w:rPr>
        <w:t>(personiskais paraksts)</w:t>
      </w:r>
      <w:bookmarkStart w:id="0" w:name="_GoBack"/>
      <w:bookmarkEnd w:id="0"/>
      <w:r>
        <w:rPr>
          <w:color w:val="000000"/>
          <w:spacing w:val="-4"/>
          <w:szCs w:val="25"/>
          <w:lang w:val="lv-LV"/>
        </w:rPr>
        <w:t xml:space="preserve"> </w:t>
      </w:r>
      <w:r>
        <w:rPr>
          <w:color w:val="000000"/>
          <w:spacing w:val="-4"/>
          <w:szCs w:val="25"/>
          <w:lang w:val="lv-LV"/>
        </w:rPr>
        <w:tab/>
      </w:r>
      <w:r>
        <w:rPr>
          <w:color w:val="000000"/>
          <w:spacing w:val="-4"/>
          <w:szCs w:val="25"/>
          <w:lang w:val="lv-LV"/>
        </w:rPr>
        <w:tab/>
      </w:r>
      <w:r>
        <w:rPr>
          <w:color w:val="000000"/>
          <w:spacing w:val="-4"/>
          <w:szCs w:val="25"/>
          <w:lang w:val="lv-LV"/>
        </w:rPr>
        <w:tab/>
      </w:r>
      <w:r>
        <w:rPr>
          <w:color w:val="000000"/>
          <w:spacing w:val="-4"/>
          <w:szCs w:val="25"/>
          <w:lang w:val="lv-LV"/>
        </w:rPr>
        <w:tab/>
        <w:t>J.Lāčplēsis</w:t>
      </w:r>
    </w:p>
    <w:p w:rsidR="005C11BA" w:rsidRDefault="005C11BA" w:rsidP="005C11BA">
      <w:pPr>
        <w:shd w:val="clear" w:color="auto" w:fill="FFFFFF"/>
        <w:spacing w:before="274" w:line="274" w:lineRule="exact"/>
        <w:ind w:right="14"/>
        <w:jc w:val="both"/>
        <w:rPr>
          <w:color w:val="000000"/>
          <w:spacing w:val="-4"/>
          <w:szCs w:val="25"/>
          <w:lang w:val="lv-LV"/>
        </w:rPr>
      </w:pPr>
    </w:p>
    <w:p w:rsidR="005C11BA" w:rsidRPr="00494BA5" w:rsidRDefault="005C11BA" w:rsidP="005C11BA">
      <w:pPr>
        <w:rPr>
          <w:lang w:val="lv-LV"/>
        </w:rPr>
      </w:pPr>
    </w:p>
    <w:p w:rsidR="005C11BA" w:rsidRDefault="005C11BA" w:rsidP="005C11BA">
      <w:pPr>
        <w:rPr>
          <w:lang w:val="lv-LV"/>
        </w:rPr>
      </w:pPr>
    </w:p>
    <w:p w:rsidR="005C11BA" w:rsidRDefault="005C11BA" w:rsidP="005C11BA">
      <w:pPr>
        <w:rPr>
          <w:lang w:val="lv-LV"/>
        </w:rPr>
      </w:pPr>
    </w:p>
    <w:p w:rsidR="008A52F3" w:rsidRDefault="008A52F3" w:rsidP="005C11BA">
      <w:pPr>
        <w:rPr>
          <w:lang w:val="lv-LV"/>
        </w:rPr>
      </w:pPr>
    </w:p>
    <w:p w:rsidR="008A52F3" w:rsidRDefault="008A52F3" w:rsidP="005C11BA">
      <w:pPr>
        <w:rPr>
          <w:lang w:val="lv-LV"/>
        </w:rPr>
      </w:pPr>
    </w:p>
    <w:p w:rsidR="008A52F3" w:rsidRDefault="008A52F3" w:rsidP="005C11BA">
      <w:pPr>
        <w:rPr>
          <w:lang w:val="lv-LV"/>
        </w:rPr>
      </w:pPr>
    </w:p>
    <w:p w:rsidR="008A52F3" w:rsidRDefault="008A52F3" w:rsidP="005C11BA">
      <w:pPr>
        <w:rPr>
          <w:lang w:val="lv-LV"/>
        </w:rPr>
      </w:pPr>
    </w:p>
    <w:p w:rsidR="008A52F3" w:rsidRDefault="008A52F3" w:rsidP="005C11BA">
      <w:pPr>
        <w:rPr>
          <w:lang w:val="lv-LV"/>
        </w:rPr>
      </w:pPr>
    </w:p>
    <w:p w:rsidR="008A52F3" w:rsidRDefault="008A52F3" w:rsidP="005C11BA">
      <w:pPr>
        <w:rPr>
          <w:lang w:val="lv-LV"/>
        </w:rPr>
      </w:pPr>
    </w:p>
    <w:p w:rsidR="008A52F3" w:rsidRDefault="008A52F3" w:rsidP="005C11BA">
      <w:pPr>
        <w:rPr>
          <w:lang w:val="lv-LV"/>
        </w:rPr>
      </w:pPr>
    </w:p>
    <w:p w:rsidR="008A52F3" w:rsidRDefault="008A52F3" w:rsidP="005C11BA">
      <w:pPr>
        <w:rPr>
          <w:lang w:val="lv-LV"/>
        </w:rPr>
      </w:pPr>
    </w:p>
    <w:p w:rsidR="008A52F3" w:rsidRDefault="008A52F3" w:rsidP="005C11BA">
      <w:pPr>
        <w:rPr>
          <w:lang w:val="lv-LV"/>
        </w:rPr>
      </w:pPr>
    </w:p>
    <w:p w:rsidR="008A52F3" w:rsidRDefault="008A52F3" w:rsidP="005C11BA">
      <w:pPr>
        <w:rPr>
          <w:lang w:val="lv-LV"/>
        </w:rPr>
      </w:pPr>
    </w:p>
    <w:p w:rsidR="008A52F3" w:rsidRDefault="008A52F3" w:rsidP="005C11BA">
      <w:pPr>
        <w:rPr>
          <w:lang w:val="lv-LV"/>
        </w:rPr>
      </w:pPr>
    </w:p>
    <w:p w:rsidR="008A52F3" w:rsidRDefault="008A52F3" w:rsidP="005C11BA">
      <w:pPr>
        <w:rPr>
          <w:lang w:val="lv-LV"/>
        </w:rPr>
      </w:pPr>
    </w:p>
    <w:p w:rsidR="008A52F3" w:rsidRDefault="008A52F3" w:rsidP="005C11BA">
      <w:pPr>
        <w:rPr>
          <w:lang w:val="lv-LV"/>
        </w:rPr>
      </w:pPr>
    </w:p>
    <w:p w:rsidR="008A52F3" w:rsidRDefault="008A52F3" w:rsidP="005C11BA">
      <w:pPr>
        <w:rPr>
          <w:lang w:val="lv-LV"/>
        </w:rPr>
      </w:pPr>
    </w:p>
    <w:p w:rsidR="008A52F3" w:rsidRDefault="008A52F3" w:rsidP="005C11BA">
      <w:pPr>
        <w:rPr>
          <w:lang w:val="lv-LV"/>
        </w:rPr>
      </w:pPr>
    </w:p>
    <w:p w:rsidR="008A52F3" w:rsidRDefault="008A52F3" w:rsidP="005C11BA">
      <w:pPr>
        <w:rPr>
          <w:lang w:val="lv-LV"/>
        </w:rPr>
      </w:pPr>
    </w:p>
    <w:p w:rsidR="008A52F3" w:rsidRDefault="008A52F3" w:rsidP="005C11BA">
      <w:pPr>
        <w:rPr>
          <w:lang w:val="lv-LV"/>
        </w:rPr>
      </w:pPr>
    </w:p>
    <w:p w:rsidR="008A52F3" w:rsidRDefault="008A52F3" w:rsidP="005C11BA">
      <w:pPr>
        <w:rPr>
          <w:lang w:val="lv-LV"/>
        </w:rPr>
      </w:pPr>
    </w:p>
    <w:p w:rsidR="008A52F3" w:rsidRDefault="008A52F3" w:rsidP="005C11BA">
      <w:pPr>
        <w:rPr>
          <w:lang w:val="lv-LV"/>
        </w:rPr>
      </w:pPr>
    </w:p>
    <w:p w:rsidR="008A52F3" w:rsidRDefault="008A52F3" w:rsidP="005C11BA">
      <w:pPr>
        <w:rPr>
          <w:lang w:val="lv-LV"/>
        </w:rPr>
      </w:pPr>
    </w:p>
    <w:p w:rsidR="008A52F3" w:rsidRDefault="008A52F3" w:rsidP="005C11BA">
      <w:pPr>
        <w:rPr>
          <w:lang w:val="lv-LV"/>
        </w:rPr>
      </w:pPr>
    </w:p>
    <w:p w:rsidR="008A52F3" w:rsidRDefault="008A52F3" w:rsidP="005C11BA">
      <w:pPr>
        <w:rPr>
          <w:lang w:val="lv-LV"/>
        </w:rPr>
      </w:pPr>
    </w:p>
    <w:p w:rsidR="008A52F3" w:rsidRDefault="008A52F3" w:rsidP="005C11BA">
      <w:pPr>
        <w:rPr>
          <w:lang w:val="lv-LV"/>
        </w:rPr>
      </w:pPr>
    </w:p>
    <w:p w:rsidR="00B30F4D" w:rsidRDefault="00B30F4D" w:rsidP="005C11BA">
      <w:pPr>
        <w:rPr>
          <w:lang w:val="lv-LV"/>
        </w:rPr>
      </w:pPr>
    </w:p>
    <w:p w:rsidR="00B30F4D" w:rsidRDefault="00B30F4D" w:rsidP="005C11BA">
      <w:pPr>
        <w:rPr>
          <w:lang w:val="lv-LV"/>
        </w:rPr>
      </w:pPr>
    </w:p>
    <w:p w:rsidR="00B30F4D" w:rsidRDefault="00B30F4D" w:rsidP="005C11BA">
      <w:pPr>
        <w:rPr>
          <w:lang w:val="lv-LV"/>
        </w:rPr>
      </w:pPr>
    </w:p>
    <w:sectPr w:rsidR="00B30F4D" w:rsidSect="006F0BC6">
      <w:headerReference w:type="default" r:id="rId9"/>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BA5" w:rsidRDefault="00494BA5" w:rsidP="00494BA5">
      <w:r>
        <w:separator/>
      </w:r>
    </w:p>
  </w:endnote>
  <w:endnote w:type="continuationSeparator" w:id="0">
    <w:p w:rsidR="00494BA5" w:rsidRDefault="00494BA5" w:rsidP="0049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Korinna LRS">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BA5" w:rsidRDefault="00494BA5" w:rsidP="00494BA5">
      <w:r>
        <w:separator/>
      </w:r>
    </w:p>
  </w:footnote>
  <w:footnote w:type="continuationSeparator" w:id="0">
    <w:p w:rsidR="00494BA5" w:rsidRDefault="00494BA5" w:rsidP="00494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956826"/>
      <w:docPartObj>
        <w:docPartGallery w:val="Page Numbers (Top of Page)"/>
        <w:docPartUnique/>
      </w:docPartObj>
    </w:sdtPr>
    <w:sdtEndPr>
      <w:rPr>
        <w:noProof/>
      </w:rPr>
    </w:sdtEndPr>
    <w:sdtContent>
      <w:p w:rsidR="006F0BC6" w:rsidRDefault="006F0BC6">
        <w:pPr>
          <w:pStyle w:val="Header"/>
          <w:jc w:val="center"/>
        </w:pPr>
        <w:r>
          <w:fldChar w:fldCharType="begin"/>
        </w:r>
        <w:r>
          <w:instrText xml:space="preserve"> PAGE   \* MERGEFORMAT </w:instrText>
        </w:r>
        <w:r>
          <w:fldChar w:fldCharType="separate"/>
        </w:r>
        <w:r w:rsidR="000B705A">
          <w:rPr>
            <w:noProof/>
          </w:rPr>
          <w:t>3</w:t>
        </w:r>
        <w:r>
          <w:rPr>
            <w:noProof/>
          </w:rPr>
          <w:fldChar w:fldCharType="end"/>
        </w:r>
      </w:p>
    </w:sdtContent>
  </w:sdt>
  <w:p w:rsidR="006F0BC6" w:rsidRDefault="006F0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2175"/>
    <w:multiLevelType w:val="hybridMultilevel"/>
    <w:tmpl w:val="809415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3F3589"/>
    <w:multiLevelType w:val="hybridMultilevel"/>
    <w:tmpl w:val="247ADDE2"/>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0D7440"/>
    <w:multiLevelType w:val="multilevel"/>
    <w:tmpl w:val="0DD4CC92"/>
    <w:lvl w:ilvl="0">
      <w:start w:val="1"/>
      <w:numFmt w:val="decimal"/>
      <w:lvlText w:val="%1)"/>
      <w:lvlJc w:val="left"/>
      <w:pPr>
        <w:ind w:left="264" w:hanging="264"/>
      </w:pPr>
      <w:rPr>
        <w:rFonts w:ascii="Times New Roman" w:eastAsia="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C3B0BD1"/>
    <w:multiLevelType w:val="multilevel"/>
    <w:tmpl w:val="FF8C4E9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BD0358C"/>
    <w:multiLevelType w:val="hybridMultilevel"/>
    <w:tmpl w:val="E6FACB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356AEC"/>
    <w:multiLevelType w:val="multilevel"/>
    <w:tmpl w:val="36EA0F0A"/>
    <w:lvl w:ilvl="0">
      <w:numFmt w:val="bullet"/>
      <w:lvlText w:val="-"/>
      <w:lvlJc w:val="left"/>
      <w:pPr>
        <w:ind w:left="715" w:hanging="360"/>
      </w:pPr>
      <w:rPr>
        <w:rFonts w:ascii="Times New Roman" w:eastAsia="Times New Roman" w:hAnsi="Times New Roman" w:cs="Times New Roman"/>
      </w:rPr>
    </w:lvl>
    <w:lvl w:ilvl="1">
      <w:start w:val="1"/>
      <w:numFmt w:val="decimal"/>
      <w:lvlText w:val="%2."/>
      <w:lvlJc w:val="left"/>
      <w:pPr>
        <w:ind w:left="269" w:hanging="269"/>
      </w:pPr>
      <w:rPr>
        <w:rFonts w:ascii="Times New Roman" w:hAnsi="Times New Roman" w:cs="Times New Roman"/>
      </w:rPr>
    </w:lvl>
    <w:lvl w:ilvl="2">
      <w:numFmt w:val="bullet"/>
      <w:lvlText w:val=""/>
      <w:lvlJc w:val="left"/>
      <w:pPr>
        <w:ind w:left="2155" w:hanging="360"/>
      </w:pPr>
      <w:rPr>
        <w:rFonts w:ascii="Wingdings" w:hAnsi="Wingdings"/>
      </w:rPr>
    </w:lvl>
    <w:lvl w:ilvl="3">
      <w:numFmt w:val="bullet"/>
      <w:lvlText w:val=""/>
      <w:lvlJc w:val="left"/>
      <w:pPr>
        <w:ind w:left="2875" w:hanging="360"/>
      </w:pPr>
      <w:rPr>
        <w:rFonts w:ascii="Symbol" w:hAnsi="Symbol"/>
      </w:rPr>
    </w:lvl>
    <w:lvl w:ilvl="4">
      <w:numFmt w:val="bullet"/>
      <w:lvlText w:val="o"/>
      <w:lvlJc w:val="left"/>
      <w:pPr>
        <w:ind w:left="3595" w:hanging="360"/>
      </w:pPr>
      <w:rPr>
        <w:rFonts w:ascii="Courier New" w:hAnsi="Courier New" w:cs="Times New Roman"/>
      </w:rPr>
    </w:lvl>
    <w:lvl w:ilvl="5">
      <w:numFmt w:val="bullet"/>
      <w:lvlText w:val=""/>
      <w:lvlJc w:val="left"/>
      <w:pPr>
        <w:ind w:left="4315" w:hanging="360"/>
      </w:pPr>
      <w:rPr>
        <w:rFonts w:ascii="Wingdings" w:hAnsi="Wingdings"/>
      </w:rPr>
    </w:lvl>
    <w:lvl w:ilvl="6">
      <w:numFmt w:val="bullet"/>
      <w:lvlText w:val=""/>
      <w:lvlJc w:val="left"/>
      <w:pPr>
        <w:ind w:left="5035" w:hanging="360"/>
      </w:pPr>
      <w:rPr>
        <w:rFonts w:ascii="Symbol" w:hAnsi="Symbol"/>
      </w:rPr>
    </w:lvl>
    <w:lvl w:ilvl="7">
      <w:numFmt w:val="bullet"/>
      <w:lvlText w:val="o"/>
      <w:lvlJc w:val="left"/>
      <w:pPr>
        <w:ind w:left="5755" w:hanging="360"/>
      </w:pPr>
      <w:rPr>
        <w:rFonts w:ascii="Courier New" w:hAnsi="Courier New" w:cs="Times New Roman"/>
      </w:rPr>
    </w:lvl>
    <w:lvl w:ilvl="8">
      <w:numFmt w:val="bullet"/>
      <w:lvlText w:val=""/>
      <w:lvlJc w:val="left"/>
      <w:pPr>
        <w:ind w:left="6475" w:hanging="360"/>
      </w:pPr>
      <w:rPr>
        <w:rFonts w:ascii="Wingdings" w:hAnsi="Wingdings"/>
      </w:rPr>
    </w:lvl>
  </w:abstractNum>
  <w:abstractNum w:abstractNumId="6" w15:restartNumberingAfterBreak="0">
    <w:nsid w:val="561D5DD6"/>
    <w:multiLevelType w:val="hybridMultilevel"/>
    <w:tmpl w:val="287696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14618DE"/>
    <w:multiLevelType w:val="hybridMultilevel"/>
    <w:tmpl w:val="F8044AE6"/>
    <w:lvl w:ilvl="0" w:tplc="50AA09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5"/>
  </w:num>
  <w:num w:numId="4">
    <w:abstractNumId w:val="3"/>
  </w:num>
  <w:num w:numId="5">
    <w:abstractNumId w:val="7"/>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3E"/>
    <w:rsid w:val="00054C9B"/>
    <w:rsid w:val="00071EB6"/>
    <w:rsid w:val="000B705A"/>
    <w:rsid w:val="00163D97"/>
    <w:rsid w:val="001E47AD"/>
    <w:rsid w:val="002213E7"/>
    <w:rsid w:val="002A4474"/>
    <w:rsid w:val="002A713E"/>
    <w:rsid w:val="002D3645"/>
    <w:rsid w:val="002E50E7"/>
    <w:rsid w:val="00305F7D"/>
    <w:rsid w:val="0032408F"/>
    <w:rsid w:val="003256A4"/>
    <w:rsid w:val="00374BDC"/>
    <w:rsid w:val="00494BA5"/>
    <w:rsid w:val="00524FB5"/>
    <w:rsid w:val="005C11BA"/>
    <w:rsid w:val="006743D2"/>
    <w:rsid w:val="006F0BC6"/>
    <w:rsid w:val="008A52F3"/>
    <w:rsid w:val="008B18D8"/>
    <w:rsid w:val="00905ED0"/>
    <w:rsid w:val="009C65C1"/>
    <w:rsid w:val="009D1FB1"/>
    <w:rsid w:val="00A44E24"/>
    <w:rsid w:val="00A91BF8"/>
    <w:rsid w:val="00AF52D0"/>
    <w:rsid w:val="00B30F4D"/>
    <w:rsid w:val="00D11015"/>
    <w:rsid w:val="00D6612D"/>
    <w:rsid w:val="00DE2C72"/>
    <w:rsid w:val="00E4670A"/>
    <w:rsid w:val="00E77FFB"/>
    <w:rsid w:val="00F22DED"/>
    <w:rsid w:val="00FA20DC"/>
    <w:rsid w:val="00FB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62F0D-E3F7-4FAA-AAFC-72B366AF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1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2A713E"/>
    <w:pPr>
      <w:keepNext/>
      <w:widowControl w:val="0"/>
      <w:shd w:val="clear" w:color="auto" w:fill="FFFFFF"/>
      <w:suppressAutoHyphens/>
      <w:autoSpaceDE w:val="0"/>
      <w:autoSpaceDN w:val="0"/>
      <w:spacing w:line="278" w:lineRule="exact"/>
      <w:jc w:val="right"/>
      <w:textAlignment w:val="baseline"/>
      <w:outlineLvl w:val="0"/>
    </w:pPr>
    <w:rPr>
      <w:color w:val="000000"/>
      <w:spacing w:val="-3"/>
      <w:szCs w:val="25"/>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13E"/>
    <w:rPr>
      <w:rFonts w:ascii="Times New Roman" w:eastAsia="Times New Roman" w:hAnsi="Times New Roman" w:cs="Times New Roman"/>
      <w:color w:val="000000"/>
      <w:spacing w:val="-3"/>
      <w:sz w:val="24"/>
      <w:szCs w:val="25"/>
      <w:shd w:val="clear" w:color="auto" w:fill="FFFFFF"/>
      <w:lang w:val="lv-LV"/>
    </w:rPr>
  </w:style>
  <w:style w:type="paragraph" w:styleId="BodyText">
    <w:name w:val="Body Text"/>
    <w:basedOn w:val="Normal"/>
    <w:link w:val="BodyTextChar"/>
    <w:rsid w:val="002A713E"/>
    <w:pPr>
      <w:suppressAutoHyphens/>
      <w:autoSpaceDN w:val="0"/>
      <w:jc w:val="both"/>
      <w:textAlignment w:val="baseline"/>
    </w:pPr>
    <w:rPr>
      <w:lang w:val="lv-LV"/>
    </w:rPr>
  </w:style>
  <w:style w:type="character" w:customStyle="1" w:styleId="BodyTextChar">
    <w:name w:val="Body Text Char"/>
    <w:basedOn w:val="DefaultParagraphFont"/>
    <w:link w:val="BodyText"/>
    <w:rsid w:val="002A713E"/>
    <w:rPr>
      <w:rFonts w:ascii="Times New Roman" w:eastAsia="Times New Roman" w:hAnsi="Times New Roman" w:cs="Times New Roman"/>
      <w:sz w:val="24"/>
      <w:szCs w:val="24"/>
      <w:lang w:val="lv-LV"/>
    </w:rPr>
  </w:style>
  <w:style w:type="paragraph" w:styleId="ListParagraph">
    <w:name w:val="List Paragraph"/>
    <w:basedOn w:val="Normal"/>
    <w:rsid w:val="002A713E"/>
    <w:pPr>
      <w:suppressAutoHyphens/>
      <w:autoSpaceDN w:val="0"/>
      <w:ind w:left="720"/>
      <w:textAlignment w:val="baseline"/>
    </w:pPr>
  </w:style>
  <w:style w:type="character" w:styleId="Hyperlink">
    <w:name w:val="Hyperlink"/>
    <w:basedOn w:val="DefaultParagraphFont"/>
    <w:rsid w:val="002A713E"/>
    <w:rPr>
      <w:color w:val="0563C1"/>
      <w:u w:val="single"/>
    </w:rPr>
  </w:style>
  <w:style w:type="paragraph" w:styleId="NormalWeb">
    <w:name w:val="Normal (Web)"/>
    <w:basedOn w:val="Normal"/>
    <w:uiPriority w:val="99"/>
    <w:unhideWhenUsed/>
    <w:rsid w:val="00494BA5"/>
    <w:pPr>
      <w:spacing w:before="100" w:beforeAutospacing="1" w:after="100" w:afterAutospacing="1"/>
    </w:pPr>
    <w:rPr>
      <w:rFonts w:ascii="Georgia" w:hAnsi="Georgia"/>
    </w:rPr>
  </w:style>
  <w:style w:type="character" w:styleId="Strong">
    <w:name w:val="Strong"/>
    <w:basedOn w:val="DefaultParagraphFont"/>
    <w:uiPriority w:val="22"/>
    <w:qFormat/>
    <w:rsid w:val="00494BA5"/>
    <w:rPr>
      <w:b/>
      <w:bCs/>
    </w:rPr>
  </w:style>
  <w:style w:type="paragraph" w:styleId="FootnoteText">
    <w:name w:val="footnote text"/>
    <w:basedOn w:val="Normal"/>
    <w:link w:val="FootnoteTextChar"/>
    <w:uiPriority w:val="99"/>
    <w:semiHidden/>
    <w:unhideWhenUsed/>
    <w:rsid w:val="00494BA5"/>
    <w:rPr>
      <w:sz w:val="20"/>
      <w:szCs w:val="20"/>
    </w:rPr>
  </w:style>
  <w:style w:type="character" w:customStyle="1" w:styleId="FootnoteTextChar">
    <w:name w:val="Footnote Text Char"/>
    <w:basedOn w:val="DefaultParagraphFont"/>
    <w:link w:val="FootnoteText"/>
    <w:uiPriority w:val="99"/>
    <w:semiHidden/>
    <w:rsid w:val="00494BA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94BA5"/>
    <w:rPr>
      <w:vertAlign w:val="superscript"/>
    </w:rPr>
  </w:style>
  <w:style w:type="paragraph" w:styleId="Header">
    <w:name w:val="header"/>
    <w:basedOn w:val="Normal"/>
    <w:link w:val="HeaderChar"/>
    <w:uiPriority w:val="99"/>
    <w:unhideWhenUsed/>
    <w:rsid w:val="006F0BC6"/>
    <w:pPr>
      <w:tabs>
        <w:tab w:val="center" w:pos="4153"/>
        <w:tab w:val="right" w:pos="8306"/>
      </w:tabs>
    </w:pPr>
  </w:style>
  <w:style w:type="character" w:customStyle="1" w:styleId="HeaderChar">
    <w:name w:val="Header Char"/>
    <w:basedOn w:val="DefaultParagraphFont"/>
    <w:link w:val="Header"/>
    <w:uiPriority w:val="99"/>
    <w:rsid w:val="006F0B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0BC6"/>
    <w:pPr>
      <w:tabs>
        <w:tab w:val="center" w:pos="4153"/>
        <w:tab w:val="right" w:pos="8306"/>
      </w:tabs>
    </w:pPr>
  </w:style>
  <w:style w:type="character" w:customStyle="1" w:styleId="FooterChar">
    <w:name w:val="Footer Char"/>
    <w:basedOn w:val="DefaultParagraphFont"/>
    <w:link w:val="Footer"/>
    <w:uiPriority w:val="99"/>
    <w:rsid w:val="006F0B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5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2F3"/>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B30F4D"/>
    <w:rPr>
      <w:sz w:val="20"/>
      <w:szCs w:val="20"/>
    </w:rPr>
  </w:style>
  <w:style w:type="character" w:customStyle="1" w:styleId="EndnoteTextChar">
    <w:name w:val="Endnote Text Char"/>
    <w:basedOn w:val="DefaultParagraphFont"/>
    <w:link w:val="EndnoteText"/>
    <w:uiPriority w:val="99"/>
    <w:semiHidden/>
    <w:rsid w:val="00B30F4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30F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516219">
      <w:bodyDiv w:val="1"/>
      <w:marLeft w:val="0"/>
      <w:marRight w:val="0"/>
      <w:marTop w:val="0"/>
      <w:marBottom w:val="0"/>
      <w:divBdr>
        <w:top w:val="none" w:sz="0" w:space="0" w:color="auto"/>
        <w:left w:val="none" w:sz="0" w:space="0" w:color="auto"/>
        <w:bottom w:val="none" w:sz="0" w:space="0" w:color="auto"/>
        <w:right w:val="none" w:sz="0" w:space="0" w:color="auto"/>
      </w:divBdr>
      <w:divsChild>
        <w:div w:id="184054586">
          <w:marLeft w:val="0"/>
          <w:marRight w:val="0"/>
          <w:marTop w:val="0"/>
          <w:marBottom w:val="0"/>
          <w:divBdr>
            <w:top w:val="none" w:sz="0" w:space="0" w:color="auto"/>
            <w:left w:val="none" w:sz="0" w:space="0" w:color="auto"/>
            <w:bottom w:val="none" w:sz="0" w:space="0" w:color="auto"/>
            <w:right w:val="none" w:sz="0" w:space="0" w:color="auto"/>
          </w:divBdr>
        </w:div>
      </w:divsChild>
    </w:div>
    <w:div w:id="191176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eima.lv/saeima8/lasa?dd=LP1419_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8DFDF-1BCB-4446-803A-E6D490F3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3</Pages>
  <Words>6220</Words>
  <Characters>3546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18</cp:revision>
  <cp:lastPrinted>2016-09-30T04:52:00Z</cp:lastPrinted>
  <dcterms:created xsi:type="dcterms:W3CDTF">2016-09-19T14:48:00Z</dcterms:created>
  <dcterms:modified xsi:type="dcterms:W3CDTF">2016-10-05T05:17:00Z</dcterms:modified>
</cp:coreProperties>
</file>