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B5" w:rsidRDefault="00EE55B5" w:rsidP="00EE55B5">
      <w:pPr>
        <w:jc w:val="center"/>
        <w:outlineLvl w:val="3"/>
        <w:rPr>
          <w:b/>
          <w:sz w:val="23"/>
          <w:szCs w:val="23"/>
          <w:lang w:val="lv-LV"/>
        </w:rPr>
      </w:pPr>
      <w:r>
        <w:rPr>
          <w:b/>
          <w:sz w:val="23"/>
          <w:szCs w:val="23"/>
          <w:lang w:val="lv-LV"/>
        </w:rPr>
        <w:t xml:space="preserve">Daugavpils pilsētas domes 2014.gada 27.marta saistošo noteikumu Nr.14 </w:t>
      </w:r>
    </w:p>
    <w:p w:rsidR="00EE55B5" w:rsidRDefault="00EE55B5" w:rsidP="00EE55B5">
      <w:pPr>
        <w:jc w:val="center"/>
        <w:outlineLvl w:val="3"/>
        <w:rPr>
          <w:b/>
          <w:sz w:val="23"/>
          <w:szCs w:val="23"/>
          <w:lang w:val="lv-LV"/>
        </w:rPr>
      </w:pPr>
      <w:r>
        <w:rPr>
          <w:b/>
          <w:sz w:val="23"/>
          <w:szCs w:val="23"/>
          <w:lang w:val="lv-LV"/>
        </w:rPr>
        <w:t>„Grozījumi Daugavpils pilsētas domes 2005.gada 11.augusta saistošajos noteikumos Nr.5 „Daugavpils pilsētas pašvaldības nolikums””</w:t>
      </w:r>
      <w:r>
        <w:rPr>
          <w:b/>
          <w:bCs/>
          <w:sz w:val="23"/>
          <w:szCs w:val="23"/>
          <w:lang w:val="lv-LV" w:eastAsia="lv-LV"/>
        </w:rPr>
        <w:t xml:space="preserve"> </w:t>
      </w:r>
      <w:r>
        <w:rPr>
          <w:b/>
          <w:sz w:val="23"/>
          <w:szCs w:val="23"/>
          <w:lang w:val="lv-LV"/>
        </w:rPr>
        <w:t>paskaidrojuma raksts</w:t>
      </w:r>
    </w:p>
    <w:p w:rsidR="00EE55B5" w:rsidRDefault="00EE55B5" w:rsidP="00EE55B5">
      <w:pPr>
        <w:jc w:val="center"/>
        <w:outlineLvl w:val="3"/>
        <w:rPr>
          <w:b/>
          <w:bCs/>
          <w:sz w:val="23"/>
          <w:szCs w:val="23"/>
          <w:lang w:val="lv-LV" w:eastAsia="lv-LV"/>
        </w:rPr>
      </w:pPr>
    </w:p>
    <w:tbl>
      <w:tblPr>
        <w:tblW w:w="4808"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17"/>
        <w:gridCol w:w="5613"/>
      </w:tblGrid>
      <w:tr w:rsidR="00EE55B5" w:rsidTr="00EE55B5">
        <w:trPr>
          <w:cantSplit/>
        </w:trPr>
        <w:tc>
          <w:tcPr>
            <w:tcW w:w="1857" w:type="pct"/>
            <w:tcBorders>
              <w:top w:val="single" w:sz="4" w:space="0" w:color="auto"/>
              <w:left w:val="single" w:sz="4" w:space="0" w:color="auto"/>
              <w:bottom w:val="single" w:sz="4" w:space="0" w:color="auto"/>
              <w:right w:val="single" w:sz="4" w:space="0" w:color="auto"/>
            </w:tcBorders>
            <w:hideMark/>
          </w:tcPr>
          <w:p w:rsidR="00EE55B5" w:rsidRDefault="00EE55B5">
            <w:pPr>
              <w:pStyle w:val="naiskr"/>
              <w:spacing w:before="120" w:after="120"/>
              <w:jc w:val="center"/>
              <w:rPr>
                <w:b/>
                <w:sz w:val="23"/>
                <w:szCs w:val="23"/>
              </w:rPr>
            </w:pPr>
            <w:r>
              <w:rPr>
                <w:b/>
                <w:sz w:val="23"/>
                <w:szCs w:val="23"/>
              </w:rPr>
              <w:t>Paskaidrojuma raksta sadaļas</w:t>
            </w:r>
          </w:p>
        </w:tc>
        <w:tc>
          <w:tcPr>
            <w:tcW w:w="3143" w:type="pct"/>
            <w:tcBorders>
              <w:top w:val="single" w:sz="4" w:space="0" w:color="auto"/>
              <w:left w:val="single" w:sz="4" w:space="0" w:color="auto"/>
              <w:bottom w:val="single" w:sz="4" w:space="0" w:color="auto"/>
              <w:right w:val="single" w:sz="4" w:space="0" w:color="auto"/>
            </w:tcBorders>
            <w:vAlign w:val="center"/>
            <w:hideMark/>
          </w:tcPr>
          <w:p w:rsidR="00EE55B5" w:rsidRDefault="00EE55B5">
            <w:pPr>
              <w:pStyle w:val="naisnod"/>
              <w:spacing w:before="0" w:after="0"/>
              <w:rPr>
                <w:sz w:val="23"/>
                <w:szCs w:val="23"/>
                <w:lang w:eastAsia="en-US"/>
              </w:rPr>
            </w:pPr>
            <w:r>
              <w:rPr>
                <w:sz w:val="23"/>
                <w:szCs w:val="23"/>
                <w:lang w:eastAsia="en-US"/>
              </w:rPr>
              <w:t>Norādāmā informācija</w:t>
            </w:r>
          </w:p>
        </w:tc>
      </w:tr>
      <w:tr w:rsidR="00EE55B5" w:rsidRPr="00F739F3" w:rsidTr="00EE55B5">
        <w:trPr>
          <w:cantSplit/>
        </w:trPr>
        <w:tc>
          <w:tcPr>
            <w:tcW w:w="1857" w:type="pct"/>
            <w:tcBorders>
              <w:top w:val="single" w:sz="4" w:space="0" w:color="auto"/>
              <w:left w:val="single" w:sz="4" w:space="0" w:color="auto"/>
              <w:bottom w:val="single" w:sz="4" w:space="0" w:color="auto"/>
              <w:right w:val="single" w:sz="4" w:space="0" w:color="auto"/>
            </w:tcBorders>
            <w:hideMark/>
          </w:tcPr>
          <w:p w:rsidR="00EE55B5" w:rsidRDefault="00EE55B5">
            <w:pPr>
              <w:pStyle w:val="naiskr"/>
              <w:spacing w:before="120" w:after="120"/>
              <w:rPr>
                <w:bCs/>
                <w:sz w:val="23"/>
                <w:szCs w:val="23"/>
              </w:rPr>
            </w:pPr>
            <w:r>
              <w:rPr>
                <w:bCs/>
                <w:sz w:val="23"/>
                <w:szCs w:val="23"/>
              </w:rPr>
              <w:t>1. Projekta nepieciešamības pamatojums</w:t>
            </w:r>
          </w:p>
        </w:tc>
        <w:tc>
          <w:tcPr>
            <w:tcW w:w="3143" w:type="pct"/>
            <w:tcBorders>
              <w:top w:val="single" w:sz="4" w:space="0" w:color="auto"/>
              <w:left w:val="single" w:sz="4" w:space="0" w:color="auto"/>
              <w:bottom w:val="single" w:sz="4" w:space="0" w:color="auto"/>
              <w:right w:val="single" w:sz="4" w:space="0" w:color="auto"/>
            </w:tcBorders>
            <w:vAlign w:val="center"/>
            <w:hideMark/>
          </w:tcPr>
          <w:p w:rsidR="00EE55B5" w:rsidRDefault="00EE55B5">
            <w:pPr>
              <w:jc w:val="both"/>
              <w:rPr>
                <w:bCs/>
                <w:sz w:val="23"/>
                <w:szCs w:val="23"/>
                <w:lang w:val="lv-LV"/>
              </w:rPr>
            </w:pPr>
            <w:r>
              <w:rPr>
                <w:bCs/>
                <w:sz w:val="23"/>
                <w:szCs w:val="23"/>
                <w:lang w:val="lv-LV"/>
              </w:rPr>
              <w:t>Valsts pārvaldes iekārtas likuma 10.panta desmitā daļa nosaka, ka valsts pārvaldi organizē pēc iespējas efektīvi, valsts pārvaldes institucionālo sistēmu pastāvīgi pārbauda un, ja nepieciešams, pilnveido, izvērtējot arī funkciju apjomu, nepieciešamību un koncentrācijas pakāpi […].</w:t>
            </w:r>
          </w:p>
          <w:p w:rsidR="00EE55B5" w:rsidRDefault="00EE55B5">
            <w:pPr>
              <w:jc w:val="both"/>
              <w:rPr>
                <w:bCs/>
                <w:sz w:val="23"/>
                <w:szCs w:val="23"/>
                <w:lang w:val="lv-LV"/>
              </w:rPr>
            </w:pPr>
            <w:r>
              <w:rPr>
                <w:bCs/>
                <w:sz w:val="23"/>
                <w:szCs w:val="23"/>
                <w:lang w:val="lv-LV"/>
              </w:rPr>
              <w:t>Pārskatot Daugavpils pilsētas domes</w:t>
            </w:r>
            <w:r>
              <w:rPr>
                <w:lang w:val="lv-LV"/>
              </w:rPr>
              <w:t xml:space="preserve"> </w:t>
            </w:r>
            <w:r>
              <w:rPr>
                <w:bCs/>
                <w:sz w:val="23"/>
                <w:szCs w:val="23"/>
                <w:lang w:val="lv-LV"/>
              </w:rPr>
              <w:t>institucionālo sistēmu, nolemts likvidēt izpilddirektora vietnieka amatus un izpilddirektora vietnieku funkciju izpildes nodrošināšanu nodot izpilddirektoram.</w:t>
            </w:r>
          </w:p>
          <w:p w:rsidR="00EE55B5" w:rsidRDefault="00EE55B5" w:rsidP="000E2D79">
            <w:pPr>
              <w:jc w:val="both"/>
              <w:rPr>
                <w:bCs/>
                <w:sz w:val="23"/>
                <w:szCs w:val="23"/>
                <w:lang w:val="lv-LV"/>
              </w:rPr>
            </w:pPr>
            <w:r>
              <w:rPr>
                <w:bCs/>
                <w:sz w:val="23"/>
                <w:szCs w:val="23"/>
                <w:lang w:val="lv-LV"/>
              </w:rPr>
              <w:t>Civil</w:t>
            </w:r>
            <w:r>
              <w:rPr>
                <w:sz w:val="23"/>
                <w:szCs w:val="23"/>
                <w:lang w:val="lv-LV"/>
              </w:rPr>
              <w:t xml:space="preserve">procesa </w:t>
            </w:r>
            <w:r>
              <w:rPr>
                <w:bCs/>
                <w:sz w:val="23"/>
                <w:szCs w:val="23"/>
                <w:lang w:val="lv-LV"/>
              </w:rPr>
              <w:t xml:space="preserve">likuma 82.panta septītā daļa nosaka, ka juridisko personu lietas kasācijas instances tiesā </w:t>
            </w:r>
            <w:r w:rsidR="000E2D79">
              <w:rPr>
                <w:bCs/>
                <w:sz w:val="23"/>
                <w:szCs w:val="23"/>
                <w:lang w:val="lv-LV"/>
              </w:rPr>
              <w:t>kārto</w:t>
            </w:r>
            <w:r>
              <w:rPr>
                <w:bCs/>
                <w:sz w:val="23"/>
                <w:szCs w:val="23"/>
                <w:lang w:val="lv-LV"/>
              </w:rPr>
              <w:t xml:space="preserve"> to amatpersonas, kas darbojas likumā, statūtos un nolikumā piešķirto pilnvaru ietvaros, vai arī tās tiek </w:t>
            </w:r>
            <w:r w:rsidR="000E2D79">
              <w:rPr>
                <w:bCs/>
                <w:sz w:val="23"/>
                <w:szCs w:val="23"/>
                <w:lang w:val="lv-LV"/>
              </w:rPr>
              <w:t>kārtotas</w:t>
            </w:r>
            <w:r>
              <w:rPr>
                <w:bCs/>
                <w:sz w:val="23"/>
                <w:szCs w:val="23"/>
                <w:lang w:val="lv-LV"/>
              </w:rPr>
              <w:t xml:space="preserve"> ar advokāta starpniecību. Lai pašvaldības darbinieki arī turpmāk būtu tiesīgi pārstāvēt pašvaldību kasācijas instancē, nepieciešami grozījumi nolikumā.</w:t>
            </w:r>
          </w:p>
        </w:tc>
      </w:tr>
      <w:tr w:rsidR="00EE55B5" w:rsidRPr="00F739F3" w:rsidTr="00EE55B5">
        <w:trPr>
          <w:cantSplit/>
          <w:trHeight w:val="1030"/>
        </w:trPr>
        <w:tc>
          <w:tcPr>
            <w:tcW w:w="1857" w:type="pct"/>
            <w:tcBorders>
              <w:top w:val="single" w:sz="4" w:space="0" w:color="auto"/>
              <w:left w:val="single" w:sz="4" w:space="0" w:color="auto"/>
              <w:bottom w:val="single" w:sz="4" w:space="0" w:color="auto"/>
              <w:right w:val="single" w:sz="4" w:space="0" w:color="auto"/>
            </w:tcBorders>
            <w:hideMark/>
          </w:tcPr>
          <w:p w:rsidR="00EE55B5" w:rsidRDefault="00EE55B5">
            <w:pPr>
              <w:pStyle w:val="naiskr"/>
              <w:spacing w:before="120" w:after="120"/>
              <w:rPr>
                <w:bCs/>
                <w:sz w:val="23"/>
                <w:szCs w:val="23"/>
              </w:rPr>
            </w:pPr>
            <w:r>
              <w:rPr>
                <w:sz w:val="23"/>
                <w:szCs w:val="23"/>
              </w:rPr>
              <w:t xml:space="preserve"> </w:t>
            </w:r>
            <w:r>
              <w:rPr>
                <w:bCs/>
                <w:sz w:val="23"/>
                <w:szCs w:val="23"/>
              </w:rPr>
              <w:t>2. Īss projekta satura izklāsts</w:t>
            </w:r>
          </w:p>
        </w:tc>
        <w:tc>
          <w:tcPr>
            <w:tcW w:w="3143" w:type="pct"/>
            <w:tcBorders>
              <w:top w:val="single" w:sz="4" w:space="0" w:color="auto"/>
              <w:left w:val="single" w:sz="4" w:space="0" w:color="auto"/>
              <w:bottom w:val="single" w:sz="4" w:space="0" w:color="auto"/>
              <w:right w:val="single" w:sz="4" w:space="0" w:color="auto"/>
            </w:tcBorders>
            <w:vAlign w:val="center"/>
            <w:hideMark/>
          </w:tcPr>
          <w:p w:rsidR="00EE55B5" w:rsidRDefault="00EE55B5">
            <w:pPr>
              <w:jc w:val="both"/>
              <w:rPr>
                <w:sz w:val="23"/>
                <w:szCs w:val="23"/>
                <w:lang w:val="lv-LV"/>
              </w:rPr>
            </w:pPr>
            <w:r>
              <w:rPr>
                <w:bCs/>
                <w:sz w:val="23"/>
                <w:szCs w:val="23"/>
                <w:lang w:val="lv-LV"/>
              </w:rPr>
              <w:t>Saistošie noteikumi precizē nolikuma tekstu, izpilddirektora pienākumus, svītro izpilddirektora vietnieka amatu, papildina nosacījumu pašvaldības darbinieku pārstāvībai kasācijas instances tiesā.</w:t>
            </w:r>
          </w:p>
        </w:tc>
      </w:tr>
      <w:tr w:rsidR="00EE55B5" w:rsidTr="00EE55B5">
        <w:trPr>
          <w:cantSplit/>
          <w:trHeight w:val="786"/>
        </w:trPr>
        <w:tc>
          <w:tcPr>
            <w:tcW w:w="1857" w:type="pct"/>
            <w:tcBorders>
              <w:top w:val="single" w:sz="4" w:space="0" w:color="auto"/>
              <w:left w:val="single" w:sz="4" w:space="0" w:color="auto"/>
              <w:bottom w:val="single" w:sz="4" w:space="0" w:color="auto"/>
              <w:right w:val="single" w:sz="4" w:space="0" w:color="auto"/>
            </w:tcBorders>
            <w:hideMark/>
          </w:tcPr>
          <w:p w:rsidR="00EE55B5" w:rsidRDefault="00EE55B5">
            <w:pPr>
              <w:pStyle w:val="naisf"/>
              <w:spacing w:before="120" w:beforeAutospacing="0" w:after="120" w:afterAutospacing="0"/>
              <w:jc w:val="left"/>
              <w:rPr>
                <w:rFonts w:eastAsia="Times New Roman"/>
                <w:bCs/>
                <w:sz w:val="23"/>
                <w:szCs w:val="23"/>
                <w:lang w:val="lv-LV"/>
              </w:rPr>
            </w:pPr>
            <w:r>
              <w:rPr>
                <w:rFonts w:eastAsia="Times New Roman"/>
                <w:bCs/>
                <w:sz w:val="23"/>
                <w:szCs w:val="23"/>
                <w:lang w:val="lv-LV"/>
              </w:rPr>
              <w:t>3. Informācija par plānoto projekta ietekmi uz pašvaldības budžetu</w:t>
            </w:r>
          </w:p>
        </w:tc>
        <w:tc>
          <w:tcPr>
            <w:tcW w:w="3143" w:type="pct"/>
            <w:tcBorders>
              <w:top w:val="single" w:sz="4" w:space="0" w:color="auto"/>
              <w:left w:val="single" w:sz="4" w:space="0" w:color="auto"/>
              <w:bottom w:val="single" w:sz="4" w:space="0" w:color="auto"/>
              <w:right w:val="single" w:sz="4" w:space="0" w:color="auto"/>
            </w:tcBorders>
            <w:vAlign w:val="center"/>
            <w:hideMark/>
          </w:tcPr>
          <w:p w:rsidR="00EE55B5" w:rsidRDefault="00EE55B5">
            <w:pPr>
              <w:pStyle w:val="naisnod"/>
              <w:spacing w:before="0" w:after="0"/>
              <w:jc w:val="both"/>
              <w:rPr>
                <w:b w:val="0"/>
                <w:bCs w:val="0"/>
                <w:sz w:val="23"/>
                <w:szCs w:val="23"/>
                <w:lang w:eastAsia="en-US"/>
              </w:rPr>
            </w:pPr>
            <w:r>
              <w:rPr>
                <w:b w:val="0"/>
                <w:bCs w:val="0"/>
                <w:sz w:val="23"/>
                <w:szCs w:val="23"/>
                <w:lang w:eastAsia="en-US"/>
              </w:rPr>
              <w:t>Nav attiecināms</w:t>
            </w:r>
          </w:p>
        </w:tc>
      </w:tr>
      <w:tr w:rsidR="00EE55B5" w:rsidTr="00EE55B5">
        <w:trPr>
          <w:cantSplit/>
          <w:trHeight w:val="1009"/>
        </w:trPr>
        <w:tc>
          <w:tcPr>
            <w:tcW w:w="1857" w:type="pct"/>
            <w:tcBorders>
              <w:top w:val="single" w:sz="4" w:space="0" w:color="auto"/>
              <w:left w:val="single" w:sz="4" w:space="0" w:color="auto"/>
              <w:bottom w:val="single" w:sz="4" w:space="0" w:color="auto"/>
              <w:right w:val="single" w:sz="4" w:space="0" w:color="auto"/>
            </w:tcBorders>
            <w:hideMark/>
          </w:tcPr>
          <w:p w:rsidR="00EE55B5" w:rsidRDefault="00EE55B5">
            <w:pPr>
              <w:spacing w:before="120" w:after="120"/>
              <w:rPr>
                <w:bCs/>
                <w:sz w:val="23"/>
                <w:szCs w:val="23"/>
                <w:lang w:val="lv-LV"/>
              </w:rPr>
            </w:pPr>
            <w:r>
              <w:rPr>
                <w:bCs/>
                <w:sz w:val="23"/>
                <w:szCs w:val="23"/>
                <w:lang w:val="lv-LV"/>
              </w:rPr>
              <w:t>4. Informācija par plānoto projekta ietekmi uz uzņēmējdarbības vidi pašvaldības teritorijā</w:t>
            </w:r>
          </w:p>
        </w:tc>
        <w:tc>
          <w:tcPr>
            <w:tcW w:w="3143" w:type="pct"/>
            <w:tcBorders>
              <w:top w:val="single" w:sz="4" w:space="0" w:color="auto"/>
              <w:left w:val="single" w:sz="4" w:space="0" w:color="auto"/>
              <w:bottom w:val="single" w:sz="4" w:space="0" w:color="auto"/>
              <w:right w:val="single" w:sz="4" w:space="0" w:color="auto"/>
            </w:tcBorders>
            <w:vAlign w:val="center"/>
            <w:hideMark/>
          </w:tcPr>
          <w:p w:rsidR="00EE55B5" w:rsidRDefault="00EE55B5">
            <w:pPr>
              <w:pStyle w:val="naisnod"/>
              <w:spacing w:before="0" w:after="0"/>
              <w:jc w:val="both"/>
              <w:rPr>
                <w:b w:val="0"/>
                <w:bCs w:val="0"/>
                <w:sz w:val="23"/>
                <w:szCs w:val="23"/>
                <w:lang w:eastAsia="en-US"/>
              </w:rPr>
            </w:pPr>
            <w:r>
              <w:rPr>
                <w:b w:val="0"/>
                <w:bCs w:val="0"/>
                <w:sz w:val="23"/>
                <w:szCs w:val="23"/>
              </w:rPr>
              <w:t>Nav attiecināms</w:t>
            </w:r>
          </w:p>
        </w:tc>
      </w:tr>
      <w:tr w:rsidR="00EE55B5" w:rsidTr="00EE55B5">
        <w:trPr>
          <w:cantSplit/>
          <w:trHeight w:val="704"/>
        </w:trPr>
        <w:tc>
          <w:tcPr>
            <w:tcW w:w="1857" w:type="pct"/>
            <w:tcBorders>
              <w:top w:val="single" w:sz="4" w:space="0" w:color="auto"/>
              <w:left w:val="single" w:sz="4" w:space="0" w:color="auto"/>
              <w:bottom w:val="single" w:sz="4" w:space="0" w:color="auto"/>
              <w:right w:val="single" w:sz="4" w:space="0" w:color="auto"/>
            </w:tcBorders>
            <w:hideMark/>
          </w:tcPr>
          <w:p w:rsidR="00EE55B5" w:rsidRDefault="00EE55B5">
            <w:pPr>
              <w:spacing w:before="120" w:after="120"/>
              <w:rPr>
                <w:bCs/>
                <w:sz w:val="23"/>
                <w:szCs w:val="23"/>
              </w:rPr>
            </w:pPr>
            <w:r>
              <w:rPr>
                <w:bCs/>
                <w:sz w:val="23"/>
                <w:szCs w:val="23"/>
              </w:rPr>
              <w:t xml:space="preserve">5. </w:t>
            </w:r>
            <w:proofErr w:type="spellStart"/>
            <w:r>
              <w:rPr>
                <w:bCs/>
                <w:sz w:val="23"/>
                <w:szCs w:val="23"/>
              </w:rPr>
              <w:t>Informācija</w:t>
            </w:r>
            <w:proofErr w:type="spellEnd"/>
            <w:r>
              <w:rPr>
                <w:bCs/>
                <w:sz w:val="23"/>
                <w:szCs w:val="23"/>
              </w:rPr>
              <w:t xml:space="preserve"> par </w:t>
            </w:r>
            <w:proofErr w:type="spellStart"/>
            <w:r>
              <w:rPr>
                <w:bCs/>
                <w:sz w:val="23"/>
                <w:szCs w:val="23"/>
              </w:rPr>
              <w:t>administratīvajām</w:t>
            </w:r>
            <w:proofErr w:type="spellEnd"/>
            <w:r>
              <w:rPr>
                <w:bCs/>
                <w:sz w:val="23"/>
                <w:szCs w:val="23"/>
              </w:rPr>
              <w:t xml:space="preserve"> </w:t>
            </w:r>
            <w:proofErr w:type="spellStart"/>
            <w:r>
              <w:rPr>
                <w:bCs/>
                <w:sz w:val="23"/>
                <w:szCs w:val="23"/>
              </w:rPr>
              <w:t>procedūrām</w:t>
            </w:r>
            <w:proofErr w:type="spellEnd"/>
          </w:p>
        </w:tc>
        <w:tc>
          <w:tcPr>
            <w:tcW w:w="3143" w:type="pct"/>
            <w:tcBorders>
              <w:top w:val="single" w:sz="4" w:space="0" w:color="auto"/>
              <w:left w:val="single" w:sz="4" w:space="0" w:color="auto"/>
              <w:bottom w:val="single" w:sz="4" w:space="0" w:color="auto"/>
              <w:right w:val="single" w:sz="4" w:space="0" w:color="auto"/>
            </w:tcBorders>
            <w:vAlign w:val="center"/>
            <w:hideMark/>
          </w:tcPr>
          <w:p w:rsidR="00EE55B5" w:rsidRDefault="00EE55B5">
            <w:pPr>
              <w:pStyle w:val="naisnod"/>
              <w:spacing w:before="0" w:after="0"/>
              <w:jc w:val="both"/>
              <w:rPr>
                <w:b w:val="0"/>
                <w:bCs w:val="0"/>
                <w:sz w:val="23"/>
                <w:szCs w:val="23"/>
                <w:lang w:eastAsia="en-US"/>
              </w:rPr>
            </w:pPr>
            <w:r>
              <w:rPr>
                <w:b w:val="0"/>
                <w:bCs w:val="0"/>
                <w:sz w:val="23"/>
                <w:szCs w:val="23"/>
              </w:rPr>
              <w:t>Nav attiecināms</w:t>
            </w:r>
          </w:p>
        </w:tc>
      </w:tr>
      <w:tr w:rsidR="00EE55B5" w:rsidTr="00EE55B5">
        <w:trPr>
          <w:cantSplit/>
          <w:trHeight w:val="672"/>
        </w:trPr>
        <w:tc>
          <w:tcPr>
            <w:tcW w:w="1857" w:type="pct"/>
            <w:tcBorders>
              <w:top w:val="single" w:sz="4" w:space="0" w:color="auto"/>
              <w:left w:val="single" w:sz="4" w:space="0" w:color="auto"/>
              <w:bottom w:val="single" w:sz="4" w:space="0" w:color="auto"/>
              <w:right w:val="single" w:sz="4" w:space="0" w:color="auto"/>
            </w:tcBorders>
            <w:hideMark/>
          </w:tcPr>
          <w:p w:rsidR="00EE55B5" w:rsidRDefault="00EE55B5">
            <w:pPr>
              <w:spacing w:before="120" w:after="120"/>
              <w:rPr>
                <w:bCs/>
                <w:sz w:val="23"/>
                <w:szCs w:val="23"/>
              </w:rPr>
            </w:pPr>
            <w:r>
              <w:rPr>
                <w:bCs/>
                <w:sz w:val="23"/>
                <w:szCs w:val="23"/>
              </w:rPr>
              <w:t xml:space="preserve">6. </w:t>
            </w:r>
            <w:proofErr w:type="spellStart"/>
            <w:r>
              <w:rPr>
                <w:bCs/>
                <w:sz w:val="23"/>
                <w:szCs w:val="23"/>
              </w:rPr>
              <w:t>Informācija</w:t>
            </w:r>
            <w:proofErr w:type="spellEnd"/>
            <w:r>
              <w:rPr>
                <w:bCs/>
                <w:sz w:val="23"/>
                <w:szCs w:val="23"/>
              </w:rPr>
              <w:t xml:space="preserve"> par </w:t>
            </w:r>
            <w:proofErr w:type="spellStart"/>
            <w:r>
              <w:rPr>
                <w:bCs/>
                <w:sz w:val="23"/>
                <w:szCs w:val="23"/>
              </w:rPr>
              <w:t>konsultācijām</w:t>
            </w:r>
            <w:proofErr w:type="spellEnd"/>
            <w:r>
              <w:rPr>
                <w:bCs/>
                <w:sz w:val="23"/>
                <w:szCs w:val="23"/>
              </w:rPr>
              <w:t xml:space="preserve"> </w:t>
            </w:r>
            <w:proofErr w:type="spellStart"/>
            <w:r>
              <w:rPr>
                <w:bCs/>
                <w:sz w:val="23"/>
                <w:szCs w:val="23"/>
              </w:rPr>
              <w:t>ar</w:t>
            </w:r>
            <w:proofErr w:type="spellEnd"/>
            <w:r>
              <w:rPr>
                <w:bCs/>
                <w:sz w:val="23"/>
                <w:szCs w:val="23"/>
              </w:rPr>
              <w:t xml:space="preserve"> </w:t>
            </w:r>
            <w:proofErr w:type="spellStart"/>
            <w:r>
              <w:rPr>
                <w:bCs/>
                <w:sz w:val="23"/>
                <w:szCs w:val="23"/>
              </w:rPr>
              <w:t>privātpersonām</w:t>
            </w:r>
            <w:proofErr w:type="spellEnd"/>
          </w:p>
        </w:tc>
        <w:tc>
          <w:tcPr>
            <w:tcW w:w="3143" w:type="pct"/>
            <w:tcBorders>
              <w:top w:val="single" w:sz="4" w:space="0" w:color="auto"/>
              <w:left w:val="single" w:sz="4" w:space="0" w:color="auto"/>
              <w:bottom w:val="single" w:sz="4" w:space="0" w:color="auto"/>
              <w:right w:val="single" w:sz="4" w:space="0" w:color="auto"/>
            </w:tcBorders>
            <w:vAlign w:val="center"/>
            <w:hideMark/>
          </w:tcPr>
          <w:p w:rsidR="00EE55B5" w:rsidRDefault="00EE55B5">
            <w:pPr>
              <w:pStyle w:val="naisnod"/>
              <w:spacing w:before="0" w:after="0"/>
              <w:jc w:val="both"/>
              <w:rPr>
                <w:b w:val="0"/>
                <w:bCs w:val="0"/>
                <w:sz w:val="23"/>
                <w:szCs w:val="23"/>
                <w:lang w:eastAsia="en-US"/>
              </w:rPr>
            </w:pPr>
            <w:r>
              <w:rPr>
                <w:b w:val="0"/>
                <w:bCs w:val="0"/>
                <w:sz w:val="23"/>
                <w:szCs w:val="23"/>
              </w:rPr>
              <w:t>Nav attiecināms</w:t>
            </w:r>
          </w:p>
        </w:tc>
      </w:tr>
    </w:tbl>
    <w:p w:rsidR="00EE55B5" w:rsidRDefault="00EE55B5" w:rsidP="00EE55B5">
      <w:pPr>
        <w:spacing w:before="120"/>
        <w:jc w:val="both"/>
        <w:rPr>
          <w:sz w:val="23"/>
          <w:szCs w:val="23"/>
          <w:lang w:eastAsia="lv-LV"/>
        </w:rPr>
      </w:pPr>
    </w:p>
    <w:p w:rsidR="00EE55B5" w:rsidRDefault="00EE55B5" w:rsidP="00EE55B5">
      <w:pPr>
        <w:spacing w:before="120"/>
        <w:jc w:val="both"/>
        <w:rPr>
          <w:sz w:val="23"/>
          <w:szCs w:val="23"/>
          <w:lang w:eastAsia="lv-LV"/>
        </w:rPr>
      </w:pPr>
    </w:p>
    <w:p w:rsidR="00EE55B5" w:rsidRDefault="00EE55B5" w:rsidP="00EE55B5">
      <w:pPr>
        <w:spacing w:before="120"/>
        <w:jc w:val="both"/>
        <w:rPr>
          <w:sz w:val="23"/>
          <w:szCs w:val="23"/>
          <w:lang w:val="en-US"/>
        </w:rPr>
      </w:pPr>
      <w:r>
        <w:rPr>
          <w:sz w:val="23"/>
          <w:szCs w:val="23"/>
          <w:lang w:eastAsia="lv-LV"/>
        </w:rPr>
        <w:t xml:space="preserve">Domes </w:t>
      </w:r>
      <w:proofErr w:type="spellStart"/>
      <w:r>
        <w:rPr>
          <w:sz w:val="23"/>
          <w:szCs w:val="23"/>
          <w:lang w:eastAsia="lv-LV"/>
        </w:rPr>
        <w:t>priekšsēdētājs</w:t>
      </w:r>
      <w:proofErr w:type="spellEnd"/>
      <w:r>
        <w:rPr>
          <w:sz w:val="23"/>
          <w:szCs w:val="23"/>
          <w:lang w:eastAsia="lv-LV"/>
        </w:rPr>
        <w:tab/>
      </w:r>
      <w:r>
        <w:rPr>
          <w:sz w:val="23"/>
          <w:szCs w:val="23"/>
          <w:lang w:eastAsia="lv-LV"/>
        </w:rPr>
        <w:tab/>
      </w:r>
      <w:r w:rsidR="00F739F3">
        <w:rPr>
          <w:sz w:val="23"/>
          <w:szCs w:val="23"/>
          <w:lang w:eastAsia="lv-LV"/>
        </w:rPr>
        <w:t>(</w:t>
      </w:r>
      <w:proofErr w:type="spellStart"/>
      <w:r w:rsidR="00F739F3">
        <w:rPr>
          <w:sz w:val="23"/>
          <w:szCs w:val="23"/>
          <w:lang w:eastAsia="lv-LV"/>
        </w:rPr>
        <w:t>personiskais</w:t>
      </w:r>
      <w:proofErr w:type="spellEnd"/>
      <w:r w:rsidR="00F739F3">
        <w:rPr>
          <w:sz w:val="23"/>
          <w:szCs w:val="23"/>
          <w:lang w:eastAsia="lv-LV"/>
        </w:rPr>
        <w:t xml:space="preserve"> </w:t>
      </w:r>
      <w:proofErr w:type="spellStart"/>
      <w:r w:rsidR="00F739F3">
        <w:rPr>
          <w:sz w:val="23"/>
          <w:szCs w:val="23"/>
          <w:lang w:eastAsia="lv-LV"/>
        </w:rPr>
        <w:t>paraksts</w:t>
      </w:r>
      <w:proofErr w:type="spellEnd"/>
      <w:r w:rsidR="00F739F3">
        <w:rPr>
          <w:sz w:val="23"/>
          <w:szCs w:val="23"/>
          <w:lang w:eastAsia="lv-LV"/>
        </w:rPr>
        <w:t>)</w:t>
      </w:r>
      <w:r>
        <w:rPr>
          <w:sz w:val="23"/>
          <w:szCs w:val="23"/>
          <w:lang w:eastAsia="lv-LV"/>
        </w:rPr>
        <w:tab/>
      </w:r>
      <w:r w:rsidR="00F739F3">
        <w:rPr>
          <w:sz w:val="23"/>
          <w:szCs w:val="23"/>
          <w:lang w:eastAsia="lv-LV"/>
        </w:rPr>
        <w:tab/>
      </w:r>
      <w:r w:rsidR="00F739F3">
        <w:rPr>
          <w:sz w:val="23"/>
          <w:szCs w:val="23"/>
          <w:lang w:eastAsia="lv-LV"/>
        </w:rPr>
        <w:tab/>
      </w:r>
      <w:r w:rsidR="00F739F3">
        <w:rPr>
          <w:sz w:val="23"/>
          <w:szCs w:val="23"/>
          <w:lang w:eastAsia="lv-LV"/>
        </w:rPr>
        <w:tab/>
      </w:r>
      <w:bookmarkStart w:id="0" w:name="_GoBack"/>
      <w:bookmarkEnd w:id="0"/>
      <w:proofErr w:type="spellStart"/>
      <w:r>
        <w:rPr>
          <w:sz w:val="23"/>
          <w:szCs w:val="23"/>
          <w:lang w:eastAsia="lv-LV"/>
        </w:rPr>
        <w:t>J.Lāčplēsis</w:t>
      </w:r>
      <w:proofErr w:type="spellEnd"/>
    </w:p>
    <w:p w:rsidR="00A046ED" w:rsidRPr="00EE55B5" w:rsidRDefault="00A046ED">
      <w:pPr>
        <w:rPr>
          <w:lang w:val="en-US"/>
        </w:rPr>
      </w:pPr>
    </w:p>
    <w:sectPr w:rsidR="00A046ED" w:rsidRPr="00EE55B5" w:rsidSect="00EE55B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B5"/>
    <w:rsid w:val="000E2D79"/>
    <w:rsid w:val="00A046ED"/>
    <w:rsid w:val="00EE55B5"/>
    <w:rsid w:val="00F73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E55B5"/>
    <w:pPr>
      <w:spacing w:before="100" w:beforeAutospacing="1" w:after="100" w:afterAutospacing="1"/>
      <w:jc w:val="both"/>
    </w:pPr>
    <w:rPr>
      <w:rFonts w:eastAsia="Arial Unicode MS"/>
    </w:rPr>
  </w:style>
  <w:style w:type="paragraph" w:customStyle="1" w:styleId="naisnod">
    <w:name w:val="naisnod"/>
    <w:basedOn w:val="Normal"/>
    <w:rsid w:val="00EE55B5"/>
    <w:pPr>
      <w:spacing w:before="150" w:after="150"/>
      <w:jc w:val="center"/>
    </w:pPr>
    <w:rPr>
      <w:b/>
      <w:bCs/>
      <w:lang w:val="lv-LV" w:eastAsia="lv-LV"/>
    </w:rPr>
  </w:style>
  <w:style w:type="paragraph" w:customStyle="1" w:styleId="naiskr">
    <w:name w:val="naiskr"/>
    <w:basedOn w:val="Normal"/>
    <w:rsid w:val="00EE55B5"/>
    <w:pPr>
      <w:spacing w:before="75" w:after="75"/>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E55B5"/>
    <w:pPr>
      <w:spacing w:before="100" w:beforeAutospacing="1" w:after="100" w:afterAutospacing="1"/>
      <w:jc w:val="both"/>
    </w:pPr>
    <w:rPr>
      <w:rFonts w:eastAsia="Arial Unicode MS"/>
    </w:rPr>
  </w:style>
  <w:style w:type="paragraph" w:customStyle="1" w:styleId="naisnod">
    <w:name w:val="naisnod"/>
    <w:basedOn w:val="Normal"/>
    <w:rsid w:val="00EE55B5"/>
    <w:pPr>
      <w:spacing w:before="150" w:after="150"/>
      <w:jc w:val="center"/>
    </w:pPr>
    <w:rPr>
      <w:b/>
      <w:bCs/>
      <w:lang w:val="lv-LV" w:eastAsia="lv-LV"/>
    </w:rPr>
  </w:style>
  <w:style w:type="paragraph" w:customStyle="1" w:styleId="naiskr">
    <w:name w:val="naiskr"/>
    <w:basedOn w:val="Normal"/>
    <w:rsid w:val="00EE55B5"/>
    <w:pPr>
      <w:spacing w:before="75" w:after="75"/>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1137</Words>
  <Characters>649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InnaSkipare</dc:creator>
  <cp:lastModifiedBy>InnaSkipare</cp:lastModifiedBy>
  <cp:revision>3</cp:revision>
  <cp:lastPrinted>2014-03-28T06:56:00Z</cp:lastPrinted>
  <dcterms:created xsi:type="dcterms:W3CDTF">2014-03-28T06:54:00Z</dcterms:created>
  <dcterms:modified xsi:type="dcterms:W3CDTF">2014-04-01T12:00:00Z</dcterms:modified>
</cp:coreProperties>
</file>