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46" w:rsidRPr="007B3646" w:rsidRDefault="007B3646" w:rsidP="007B364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7B3646">
        <w:rPr>
          <w:rFonts w:ascii="Times New Roman" w:eastAsia="Times New Roman" w:hAnsi="Times New Roman"/>
          <w:caps/>
          <w:sz w:val="24"/>
          <w:szCs w:val="24"/>
          <w:lang w:val="lv-LV" w:eastAsia="ar-SA"/>
        </w:rPr>
        <w:t>apstiprinĀts</w:t>
      </w:r>
      <w:r w:rsidRPr="007B3646">
        <w:rPr>
          <w:rFonts w:ascii="Times New Roman" w:eastAsia="Times New Roman" w:hAnsi="Times New Roman"/>
          <w:caps/>
          <w:sz w:val="24"/>
          <w:szCs w:val="24"/>
          <w:lang w:val="lv-LV" w:eastAsia="ar-SA"/>
        </w:rPr>
        <w:br/>
      </w:r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Kultūras pārvaldes vadītāja </w:t>
      </w:r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br/>
      </w:r>
    </w:p>
    <w:p w:rsidR="007B3646" w:rsidRPr="007B3646" w:rsidRDefault="007B3646" w:rsidP="007B364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___________________ </w:t>
      </w:r>
      <w:proofErr w:type="spellStart"/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>E.Kleščinska</w:t>
      </w:r>
      <w:proofErr w:type="spellEnd"/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</w:t>
      </w:r>
    </w:p>
    <w:p w:rsidR="007B3646" w:rsidRPr="007B3646" w:rsidRDefault="007B3646" w:rsidP="007B364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7B3646" w:rsidRPr="007B3646" w:rsidRDefault="007B3646" w:rsidP="007B364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lv-LV" w:eastAsia="ar-SA"/>
        </w:rPr>
      </w:pPr>
      <w:r w:rsidRPr="007B3646"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 xml:space="preserve">Daugavpilī, 2016.gada </w:t>
      </w:r>
      <w:r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>28</w:t>
      </w:r>
      <w:r w:rsidRPr="007B3646"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>.novembrī</w:t>
      </w:r>
    </w:p>
    <w:p w:rsidR="007B3646" w:rsidRPr="007B3646" w:rsidRDefault="007B3646" w:rsidP="007B364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val="lv-LV" w:eastAsia="ar-SA"/>
        </w:rPr>
      </w:pPr>
    </w:p>
    <w:p w:rsidR="007B3646" w:rsidRPr="007B3646" w:rsidRDefault="007B3646" w:rsidP="007B36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 w:eastAsia="ar-SA"/>
        </w:rPr>
      </w:pPr>
    </w:p>
    <w:p w:rsidR="007B3646" w:rsidRPr="007B3646" w:rsidRDefault="007B3646" w:rsidP="007B3646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sz w:val="24"/>
          <w:szCs w:val="24"/>
          <w:lang w:val="lv-LV"/>
        </w:rPr>
        <w:t xml:space="preserve">UZAICINĀJUMS </w:t>
      </w:r>
    </w:p>
    <w:p w:rsidR="007B3646" w:rsidRPr="007B3646" w:rsidRDefault="007B3646" w:rsidP="007B3646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sz w:val="24"/>
          <w:szCs w:val="24"/>
          <w:lang w:val="lv-LV"/>
        </w:rPr>
        <w:t xml:space="preserve">piedalīties aptaujā par līguma piešķiršanas tiesībām </w:t>
      </w:r>
    </w:p>
    <w:p w:rsidR="007B3646" w:rsidRPr="007B3646" w:rsidRDefault="007B3646" w:rsidP="007B36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7B3646" w:rsidRPr="007B3646" w:rsidRDefault="007B3646" w:rsidP="007B36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„Latvijas Republikas Proklamēšanas dienas pasākumu apskaņošana, apgaismošana un tehniskā apkalpošana”</w:t>
      </w:r>
    </w:p>
    <w:p w:rsidR="007B3646" w:rsidRPr="007B3646" w:rsidRDefault="007B3646" w:rsidP="007B3646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B3646" w:rsidRPr="007B3646" w:rsidTr="00BF5C2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46" w:rsidRPr="007B3646" w:rsidRDefault="007B3646" w:rsidP="007B3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7B364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46" w:rsidRPr="007B3646" w:rsidRDefault="007B3646" w:rsidP="007B3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 w:rsidRPr="007B364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Kultūras pārvalde</w:t>
            </w:r>
          </w:p>
        </w:tc>
      </w:tr>
      <w:tr w:rsidR="007B3646" w:rsidRPr="007B3646" w:rsidTr="00BF5C2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46" w:rsidRPr="007B3646" w:rsidRDefault="007B3646" w:rsidP="007B3646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7B364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46" w:rsidRPr="007B3646" w:rsidRDefault="007B3646" w:rsidP="007B3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7B364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Krišjāņa Valdemāra iela 13, Daugavpils, LV-5401</w:t>
            </w:r>
          </w:p>
        </w:tc>
      </w:tr>
      <w:tr w:rsidR="007B3646" w:rsidRPr="007B3646" w:rsidTr="00BF5C2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46" w:rsidRPr="007B3646" w:rsidRDefault="007B3646" w:rsidP="007B3646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7B364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 w:rsidRPr="007B364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46" w:rsidRPr="007B3646" w:rsidRDefault="007B3646" w:rsidP="007B3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7B364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90001206849</w:t>
            </w:r>
          </w:p>
        </w:tc>
      </w:tr>
      <w:tr w:rsidR="007B3646" w:rsidRPr="007B3646" w:rsidTr="00BF5C2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46" w:rsidRPr="007B3646" w:rsidRDefault="007B3646" w:rsidP="007B3646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7B364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46" w:rsidRPr="007B3646" w:rsidRDefault="007B3646" w:rsidP="007B3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7B364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Juriskonsulte Mārīte </w:t>
            </w:r>
            <w:proofErr w:type="spellStart"/>
            <w:r w:rsidRPr="007B364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Jukša</w:t>
            </w:r>
            <w:proofErr w:type="spellEnd"/>
            <w:r w:rsidRPr="007B364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7B364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</w:t>
            </w:r>
            <w:proofErr w:type="spellEnd"/>
            <w:r w:rsidRPr="007B364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65476797, e-pasts Marite.juksa@daugavpils.lv</w:t>
            </w:r>
          </w:p>
        </w:tc>
      </w:tr>
    </w:tbl>
    <w:p w:rsidR="007B3646" w:rsidRPr="007B3646" w:rsidRDefault="007B3646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Pr="007B3646" w:rsidRDefault="007B3646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Pr="007B3646" w:rsidRDefault="007B3646" w:rsidP="007B3646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Iepirkuma priekšmets: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Egles iedegšanas pasākuma</w:t>
      </w:r>
      <w:r w:rsidRPr="007B364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apskaņošana, apgaismošana un tehniskā apkalpošana</w:t>
      </w:r>
    </w:p>
    <w:p w:rsidR="007B3646" w:rsidRPr="007B3646" w:rsidRDefault="007B3646" w:rsidP="007B3646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Precīzs pakalpojuma apraksts ir noteiks </w:t>
      </w:r>
      <w:r w:rsidRPr="007B36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Tehniskajā specifikācijā (pielikums Nr.1)</w:t>
      </w:r>
      <w:r w:rsidRPr="007B364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. </w:t>
      </w:r>
    </w:p>
    <w:p w:rsidR="007B3646" w:rsidRPr="007B3646" w:rsidRDefault="007B3646" w:rsidP="007B3646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/>
          <w:sz w:val="24"/>
          <w:szCs w:val="24"/>
          <w:lang w:val="lv-LV"/>
        </w:rPr>
        <w:t>Pretendentu iesniedzamie dokumenti:</w:t>
      </w:r>
      <w:r w:rsidRPr="007B364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Finanšu – tehniskais piedāvājums </w:t>
      </w:r>
      <w:r w:rsidR="0081096E">
        <w:rPr>
          <w:rFonts w:ascii="Times New Roman" w:eastAsia="Times New Roman" w:hAnsi="Times New Roman"/>
          <w:bCs/>
          <w:sz w:val="24"/>
          <w:szCs w:val="24"/>
          <w:lang w:val="lv-LV"/>
        </w:rPr>
        <w:t>brīvā formā</w:t>
      </w:r>
    </w:p>
    <w:p w:rsidR="007B3646" w:rsidRPr="007B3646" w:rsidRDefault="007B3646" w:rsidP="007B3646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6.  </w:t>
      </w: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Piedāvājuma izvēles kritēriji – piedāvājums ar viszemāko cenu.</w:t>
      </w:r>
      <w:r w:rsidRPr="007B3646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 xml:space="preserve"> </w:t>
      </w:r>
    </w:p>
    <w:p w:rsidR="007B3646" w:rsidRPr="007B3646" w:rsidRDefault="007B3646" w:rsidP="007B364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7. </w:t>
      </w: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Piedāvājums iesniedzams līdz 2016.gada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1.decembra</w:t>
      </w: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plkst</w:t>
      </w:r>
      <w:proofErr w:type="spellEnd"/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9</w:t>
      </w: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.00 uz e-pastu: </w:t>
      </w:r>
      <w:hyperlink r:id="rId6" w:history="1">
        <w:r w:rsidRPr="007B3646">
          <w:rPr>
            <w:rFonts w:ascii="Times New Roman" w:eastAsia="Times New Roman" w:hAnsi="Times New Roman"/>
            <w:b/>
            <w:bCs/>
            <w:color w:val="0000FF" w:themeColor="hyperlink"/>
            <w:sz w:val="24"/>
            <w:szCs w:val="24"/>
            <w:u w:val="single"/>
            <w:lang w:val="lv-LV"/>
          </w:rPr>
          <w:t>Marite.juksa@daugavpils.lv</w:t>
        </w:r>
      </w:hyperlink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</w:p>
    <w:p w:rsidR="007B3646" w:rsidRPr="007B3646" w:rsidRDefault="007B3646" w:rsidP="007B364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8. Paziņojums par rezultātu tiks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publicēts Kultūras pārvaldes mājas lapā </w:t>
      </w:r>
      <w:hyperlink r:id="rId7" w:history="1">
        <w:r w:rsidRPr="00242156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lv-LV"/>
          </w:rPr>
          <w:t>www.kultura.daugavpils.lv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   </w:t>
      </w:r>
    </w:p>
    <w:p w:rsidR="007B3646" w:rsidRPr="007B3646" w:rsidRDefault="007B3646" w:rsidP="007B36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Pr="007B3646" w:rsidRDefault="007B3646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Pr="007B3646" w:rsidRDefault="007B3646" w:rsidP="007B3646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Cs/>
          <w:caps/>
          <w:sz w:val="24"/>
          <w:szCs w:val="24"/>
          <w:lang w:val="lv-LV"/>
        </w:rPr>
        <w:t>Pielikumā:</w:t>
      </w:r>
    </w:p>
    <w:p w:rsidR="007B3646" w:rsidRPr="007B3646" w:rsidRDefault="007B3646" w:rsidP="007B3646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7B3646">
        <w:rPr>
          <w:rFonts w:ascii="Times New Roman" w:eastAsia="Times New Roman" w:hAnsi="Times New Roman"/>
          <w:bCs/>
          <w:sz w:val="24"/>
          <w:szCs w:val="24"/>
          <w:lang w:val="lv-LV"/>
        </w:rPr>
        <w:t>Tehniskā specifikācija;</w:t>
      </w:r>
    </w:p>
    <w:p w:rsidR="007B3646" w:rsidRDefault="007B3646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4E2B9F" w:rsidRPr="007B3646" w:rsidRDefault="004E2B9F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Pr="007B3646" w:rsidRDefault="007B3646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Pr="007B3646" w:rsidRDefault="007B3646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Default="007B3646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ED0327" w:rsidRDefault="00ED0327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ED0327" w:rsidRPr="007B3646" w:rsidRDefault="00ED0327" w:rsidP="007B3646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7B3646" w:rsidRPr="007B3646" w:rsidRDefault="007B3646" w:rsidP="007B3646">
      <w:pPr>
        <w:spacing w:after="0" w:line="240" w:lineRule="auto"/>
        <w:ind w:left="2880"/>
        <w:jc w:val="right"/>
        <w:rPr>
          <w:rFonts w:ascii="Times New Roman" w:eastAsia="Times New Roman" w:hAnsi="Times New Roman"/>
          <w:b/>
          <w:sz w:val="24"/>
          <w:szCs w:val="24"/>
          <w:lang w:val="lv-LV" w:eastAsia="ar-SA"/>
        </w:rPr>
      </w:pPr>
      <w:bookmarkStart w:id="0" w:name="OLE_LINK1"/>
      <w:bookmarkStart w:id="1" w:name="OLE_LINK2"/>
      <w:r w:rsidRPr="007B3646">
        <w:rPr>
          <w:rFonts w:ascii="Times New Roman" w:eastAsia="Times New Roman" w:hAnsi="Times New Roman"/>
          <w:b/>
          <w:sz w:val="24"/>
          <w:szCs w:val="24"/>
          <w:lang w:val="lv-LV" w:eastAsia="ar-SA"/>
        </w:rPr>
        <w:lastRenderedPageBreak/>
        <w:t xml:space="preserve">1.Pielikums </w:t>
      </w:r>
    </w:p>
    <w:p w:rsidR="007B3646" w:rsidRPr="007B3646" w:rsidRDefault="007B3646" w:rsidP="007B3646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br/>
      </w:r>
      <w:r w:rsidRPr="007B3646"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  <w:t>TEHNISKĀ SPECIFIKĀCIJA</w:t>
      </w:r>
    </w:p>
    <w:p w:rsidR="007B3646" w:rsidRPr="007B3646" w:rsidRDefault="007B3646" w:rsidP="007B364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</w:p>
    <w:p w:rsidR="007B3646" w:rsidRPr="007B3646" w:rsidRDefault="007B3646" w:rsidP="007B364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276"/>
      </w:tblGrid>
      <w:tr w:rsidR="0081096E" w:rsidRPr="0081096E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E" w:rsidRPr="0081096E" w:rsidRDefault="0081096E" w:rsidP="0081096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Nr.p.k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E" w:rsidRPr="0081096E" w:rsidRDefault="0081096E" w:rsidP="0081096E">
            <w:pPr>
              <w:jc w:val="center"/>
              <w:rPr>
                <w:b/>
                <w:i/>
              </w:rPr>
            </w:pPr>
            <w:proofErr w:type="spellStart"/>
            <w:r w:rsidRPr="0081096E">
              <w:rPr>
                <w:b/>
                <w:i/>
              </w:rPr>
              <w:t>Veids</w:t>
            </w:r>
            <w:proofErr w:type="spellEnd"/>
            <w:r w:rsidRPr="0081096E">
              <w:rPr>
                <w:b/>
                <w:i/>
              </w:rPr>
              <w:t xml:space="preserve">, </w:t>
            </w:r>
            <w:proofErr w:type="spellStart"/>
            <w:r w:rsidRPr="0081096E">
              <w:rPr>
                <w:b/>
                <w:i/>
              </w:rPr>
              <w:t>iekārtas</w:t>
            </w:r>
            <w:proofErr w:type="spellEnd"/>
            <w:r w:rsidRPr="0081096E">
              <w:rPr>
                <w:b/>
                <w:i/>
              </w:rPr>
              <w:t xml:space="preserve"> </w:t>
            </w:r>
            <w:proofErr w:type="spellStart"/>
            <w:r w:rsidRPr="0081096E">
              <w:rPr>
                <w:b/>
                <w:i/>
              </w:rPr>
              <w:t>nosaukums</w:t>
            </w:r>
            <w:proofErr w:type="spellEnd"/>
            <w:r w:rsidRPr="0081096E">
              <w:rPr>
                <w:b/>
                <w:i/>
              </w:rPr>
              <w:t xml:space="preserve"> un </w:t>
            </w:r>
            <w:proofErr w:type="spellStart"/>
            <w:r w:rsidRPr="0081096E">
              <w:rPr>
                <w:b/>
                <w:i/>
              </w:rPr>
              <w:t>tehniskais</w:t>
            </w:r>
            <w:proofErr w:type="spellEnd"/>
            <w:r w:rsidRPr="0081096E">
              <w:rPr>
                <w:b/>
                <w:i/>
              </w:rPr>
              <w:t xml:space="preserve">  </w:t>
            </w:r>
            <w:proofErr w:type="spellStart"/>
            <w:r w:rsidRPr="0081096E">
              <w:rPr>
                <w:b/>
                <w:i/>
              </w:rPr>
              <w:t>a</w:t>
            </w:r>
            <w:r w:rsidRPr="0081096E">
              <w:rPr>
                <w:b/>
                <w:i/>
              </w:rPr>
              <w:t>praksts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E" w:rsidRPr="0081096E" w:rsidRDefault="0081096E" w:rsidP="0081096E">
            <w:pPr>
              <w:jc w:val="center"/>
              <w:rPr>
                <w:b/>
                <w:i/>
              </w:rPr>
            </w:pPr>
            <w:proofErr w:type="spellStart"/>
            <w:r w:rsidRPr="0081096E">
              <w:rPr>
                <w:b/>
                <w:i/>
              </w:rPr>
              <w:t>daudzums</w:t>
            </w:r>
            <w:proofErr w:type="spellEnd"/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Monitoru </w:t>
            </w:r>
            <w:proofErr w:type="spellStart"/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skanda</w:t>
            </w:r>
            <w:proofErr w:type="spellEnd"/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12" + 1`4``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: 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Skatuves monitors 12`` + 1``, jauda 1000W. Atskaņojamo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frekvenču diapazons: 55Hz - 20kHz. Izstarošanas leņķis: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horizontāli - 80 grādi, vertikāli - 70 grādi.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Skandas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nominālais</w:t>
            </w:r>
          </w:p>
          <w:p w:rsidR="009C49C7" w:rsidRPr="007B3646" w:rsidRDefault="009C49C7" w:rsidP="009C49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spiediens - 133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7B3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4</w:t>
            </w:r>
          </w:p>
        </w:tc>
      </w:tr>
      <w:tr w:rsidR="009C49C7" w:rsidRPr="007B3646" w:rsidTr="0081096E">
        <w:trPr>
          <w:trHeight w:val="10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Digitālā pults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32 x analogas mikrofona/līnijas ieejas. 16 x analogas līnijas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izejas. 96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kHz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signāla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semplēšana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. 8 efektu statne ar stereo</w:t>
            </w:r>
          </w:p>
          <w:p w:rsidR="009C49C7" w:rsidRPr="007B3646" w:rsidRDefault="009C49C7" w:rsidP="009C49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izejām katram efektam. 8DCA grupas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Skaņas pults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skatuves modulis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StageBOX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32 x analogas mikrofona/līnijas ieejas. 16 x analogas līnijas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izejas. 96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kHz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signāla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semplēšana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UHF diapazona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digitāla bezvadu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mikrofona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UHF diapazona digitāla bezvadu mikrofona sistēma ar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min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2280x maināmām frekvencēm. Komplektā ietilpst uztvērējs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un rokas mikrofons ar Beta58a galvu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4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CD/MP3/ WAV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atskaņotāji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Frontālā diska ielāde. Ātruma regulēšana. "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Master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tempo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"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funkcija. Analogā izeja - 2xRCA. Frekvenču josla - 4Hz - 20kHz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Signāla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komutācijas vadu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komplekts skaņas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iekārtām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Visu pasākuma norisei nepieciešamo signāla vadu un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skatuves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multikabeļu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komplekts, kurš atbilst visām drošības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prasībām, atbilst Latvijas Republikā pieņemtiem standartiem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un ir teicamā tehniskā stāvoklī. Komplektā ietilpst visi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nepieciešamie vadi, lai pieslēgtu visus mikrofonus,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instrumentus un monitoru līnijas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Elektrības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komutācijas vadu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komplekts skaņas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iekārtām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Visu pasākuma norisei nepieciešamo barošanas vadu,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elektrības pagarinātāju un jaudas līniju komplekts, kurš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atbilst visām drošības prasībām, atbilst Latvijas Republikā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pieņemtiem standartiem un ir teicamā tehniskā stāvoklī.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Digitāls signāla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multikabelis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CAT5e līnijas ar NEUTRIK NE8MC-1 tipa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konektoriem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Garums 70 metriem.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Kustīgais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efektstarmetis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Wash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tipa inteliģentais prožektors ar LED Gaismas avotu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108x3w ar RGBW krāsu jaukšanas sistēmu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6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Kustīgais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efektstarmetis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Spot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tipa inteliģentais prožektors (Kustīgā galva) ar CMY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krāsu jaukšanu.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Osram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330 spuldze , stara leņķis 3,8 līdz 42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grādi, divi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gobo-wheel,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1xrotējošas prizmas,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frost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filtrs.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8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Kustīgais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efektstarmetis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Beam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tipa inteliģentais prožektors ar lampas jaudu 330w. 8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šķautņu prizmas efekts. Stara leņķa regulācijas iespēja no 0-3,8 grādiem.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14 iebūvētas statiskas krāsas.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8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Teātra tipa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starmetis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Starmetis ar lielu gaismas stara izkliedi ar 2gb DWE 650w -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120v lampām.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4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Teātra tipa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starmetis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Fresnel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tipa starmetis ar lampas jaudu 2kW, lineāru stara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resnuma regulēšanas iespējām no 10-60 grādiem. Lēcas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izmērs 200mm, izmantošanas attālums no 6-25m., svars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10kg.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6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Gaismas iekārtu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vadības pults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Atbalsta DMX512 signāla protokolu. Aprīkota ar 22 collu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skarienjūtīgu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ekrānu. Ar funkciju izmantojot ārējo serveri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konfigurēt līdz 64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dmx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līnijas. Aprīkota ar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programējamiem</w:t>
            </w:r>
            <w:proofErr w:type="spellEnd"/>
          </w:p>
          <w:p w:rsidR="009C49C7" w:rsidRPr="007B3646" w:rsidRDefault="009C49C7" w:rsidP="009C49C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regulātoriem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un ātrās izsaukšanas pogām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Jaudas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regulatoru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sistēma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Ar 12 kontroles kanāliem. Maksimālā pieļaujamā jauda uz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kanālu 4 kW. Jaudas bloki aprīkoti ar SOCAPEX tipa izejas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konektoriem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. Bloki atbalsta DMX512 gaismas iekārtu vadības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protokolu. Blokam ir iespēja mainīt jaudas regulācija līkni.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Signāla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komutācijas vadu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komplekts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gaismas iekārtām</w:t>
            </w:r>
          </w:p>
          <w:p w:rsidR="00ED0327" w:rsidRDefault="00ED0327" w:rsidP="00ED032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Visu pasākuma norisei nepieciešamo signāla vadu un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skatuves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multikabeļu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komplekts, kurš atbilst visām drošības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prasībām, atbilst Latvijas Republikā pieņemtiem standartiem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un ir teicamā tehniskā stāvoklī. Komplektā ietilpst visi</w:t>
            </w:r>
          </w:p>
          <w:p w:rsidR="00ED0327" w:rsidRPr="009C49C7" w:rsidRDefault="00ED0327" w:rsidP="00ED0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nepieciešamie vadi, lai pieslēgtu visus mikrofonus,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instrumentus un monitoru līnijas.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Elektrības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komutācijas vadu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komplekts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gaismas iekārtām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Visu pasākuma norisei nepieciešamo barošanas vadu,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elektrības pagarinātāju un jaudas līniju komplekts, kurš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atbilst visām drošības prasībām, atbilst Latvijas Republikā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pieņemtiem standartiem un ir teicamā tehniskā stāvoklī.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Pr="007B3646" w:rsidRDefault="009C49C7" w:rsidP="009C49C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Telts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Telts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izmēri: 3 x 3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Aktīvas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akustiskās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sistēmas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komplekts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Vidējo un augsto frekvenču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skanda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Divvirziena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sķaņas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iekārta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Viens 15”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neodīna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zemo frekvenču (ZF) skaļrunis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Viens 1.4” ferīta kompresijas draiveris kopā ar universālu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augsto frekvenču (AF) ruporu.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Darbības nomināls frekvenču diapazons no 50Hz līdz 20kHz.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RMS pieļaujamā jauda 2200W.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Maksimālais skaņas spiediens 139 dB SPL.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Universālais asimetriskais rupors 80°x30°, Ar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Takelāžes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sistēmu, kas ļauj uzstādīt sistēmu gan horizontālā, gan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vertikālā izkārtojumā.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Ar X-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comb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tehnoloģiju.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Ar FIR X-OVER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optomal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phase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response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6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Aktīvas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akustiskās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sistēmas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komplekts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Zemo frekvenču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skanda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Aktīvas zemo frekvenču (ZF) akustiskās sistēmas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Divi 18” zemo frekvenču (ZF) skaļruņi ar 3” skaņas spoli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izgatavotu Eiropā.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Frekvenču diapazons no 40Hz-110Hz.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Maksimālā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peak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jauda 4000W.</w:t>
            </w:r>
          </w:p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Maksimālais skaņas spiediens 142 dB SPL.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Joslas platums 40Hz-110Hz@-3dBspl.</w:t>
            </w:r>
          </w:p>
          <w:p w:rsidR="009C49C7" w:rsidRPr="007B3646" w:rsidRDefault="009C49C7" w:rsidP="009C49C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Izmantots 2x1100 WRMS digitāls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Powersoft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6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LED PAR tipa</w:t>
            </w:r>
            <w:r>
              <w:rPr>
                <w:rFonts w:eastAsiaTheme="minorHAnsi" w:cs="Calibri"/>
                <w:b/>
                <w:sz w:val="20"/>
                <w:szCs w:val="20"/>
                <w:lang w:val="lv-LV"/>
              </w:rPr>
              <w:t xml:space="preserve"> </w:t>
            </w: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starmetis</w:t>
            </w:r>
          </w:p>
          <w:p w:rsidR="009C49C7" w:rsidRPr="007B3646" w:rsidRDefault="009C49C7" w:rsidP="009C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LED PAR tipa starmetis ar gaismas avotu 18x10w RGBW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krāsu jaukšanas sistēmu un lineāru stara spilgtuma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>regulēšanas iespēju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16</w:t>
            </w:r>
          </w:p>
        </w:tc>
      </w:tr>
      <w:tr w:rsidR="009C49C7" w:rsidRPr="007B3646" w:rsidTr="008109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C7" w:rsidRDefault="009C49C7" w:rsidP="009C49C7">
            <w:pPr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  <w:lang w:val="lv-LV"/>
              </w:rPr>
            </w:pPr>
            <w:r w:rsidRPr="009C49C7">
              <w:rPr>
                <w:rFonts w:eastAsiaTheme="minorHAnsi" w:cs="Calibri"/>
                <w:b/>
                <w:sz w:val="20"/>
                <w:szCs w:val="20"/>
                <w:lang w:val="lv-LV"/>
              </w:rPr>
              <w:t>Video</w:t>
            </w:r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</w:t>
            </w:r>
          </w:p>
          <w:p w:rsidR="009C49C7" w:rsidRPr="007B3646" w:rsidRDefault="009C49C7" w:rsidP="009C49C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Videoproektors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4000ANSI ar </w:t>
            </w:r>
            <w:proofErr w:type="spellStart"/>
            <w:r>
              <w:rPr>
                <w:rFonts w:eastAsiaTheme="minorHAnsi" w:cs="Calibri"/>
                <w:sz w:val="20"/>
                <w:szCs w:val="20"/>
                <w:lang w:val="lv-LV"/>
              </w:rPr>
              <w:t>ēkranu</w:t>
            </w:r>
            <w:proofErr w:type="spellEnd"/>
            <w:r>
              <w:rPr>
                <w:rFonts w:eastAsiaTheme="minorHAnsi" w:cs="Calibri"/>
                <w:sz w:val="20"/>
                <w:szCs w:val="20"/>
                <w:lang w:val="lv-LV"/>
              </w:rPr>
              <w:t xml:space="preserve"> 221X124 (100'', 16:9)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7B3646" w:rsidRDefault="009C49C7" w:rsidP="007B364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eastAsiaTheme="minorHAnsi" w:cs="Calibri"/>
                <w:sz w:val="20"/>
                <w:szCs w:val="20"/>
                <w:lang w:val="lv-LV"/>
              </w:rPr>
              <w:t>1</w:t>
            </w:r>
          </w:p>
        </w:tc>
      </w:tr>
    </w:tbl>
    <w:p w:rsidR="007B3646" w:rsidRPr="007B3646" w:rsidRDefault="007B3646" w:rsidP="007B3646">
      <w:pPr>
        <w:spacing w:after="0" w:line="240" w:lineRule="auto"/>
        <w:rPr>
          <w:rFonts w:ascii="Times New Roman Baltic" w:hAnsi="Times New Roman Baltic" w:cs="Times New Roman Baltic"/>
          <w:sz w:val="24"/>
          <w:szCs w:val="24"/>
          <w:lang w:val="lv-LV" w:eastAsia="lv-LV"/>
        </w:rPr>
      </w:pPr>
    </w:p>
    <w:p w:rsidR="007B3646" w:rsidRPr="007B3646" w:rsidRDefault="007B3646" w:rsidP="007B3646">
      <w:pPr>
        <w:spacing w:after="0" w:line="240" w:lineRule="auto"/>
        <w:rPr>
          <w:rFonts w:ascii="Times New Roman Baltic" w:hAnsi="Times New Roman Baltic" w:cs="Times New Roman Baltic"/>
          <w:sz w:val="24"/>
          <w:szCs w:val="24"/>
          <w:lang w:val="lv-LV" w:eastAsia="lv-LV"/>
        </w:rPr>
      </w:pPr>
    </w:p>
    <w:p w:rsidR="007B3646" w:rsidRPr="007B3646" w:rsidRDefault="007B3646" w:rsidP="007B3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7B3646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Pakalpojuma izmaksas ietver aparatūras piegādi,</w:t>
      </w:r>
      <w:r w:rsidRPr="007B3646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7B3646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uzstādīšanu</w:t>
      </w:r>
      <w:r w:rsidRPr="007B3646">
        <w:rPr>
          <w:rFonts w:ascii="Times New Roman" w:hAnsi="Times New Roman"/>
          <w:sz w:val="24"/>
          <w:szCs w:val="24"/>
          <w:lang w:val="lv-LV" w:eastAsia="lv-LV"/>
        </w:rPr>
        <w:t xml:space="preserve"> un </w:t>
      </w:r>
      <w:r w:rsidRPr="007B3646">
        <w:rPr>
          <w:rFonts w:ascii="Times New Roman Baltic" w:hAnsi="Times New Roman Baltic" w:cs="Times New Roman Baltic"/>
          <w:sz w:val="24"/>
          <w:szCs w:val="24"/>
          <w:lang w:val="lv-LV" w:eastAsia="lv-LV"/>
        </w:rPr>
        <w:t xml:space="preserve">skaņas iekārtu demontāžu, kā arī skaņu operatora darbu un skaņu tehniķu darbu. </w:t>
      </w:r>
    </w:p>
    <w:p w:rsidR="007B3646" w:rsidRPr="007B3646" w:rsidRDefault="007B3646" w:rsidP="007B3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7B3646" w:rsidRPr="007B3646" w:rsidRDefault="007B3646" w:rsidP="007B3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Sagatavoja: Kultūras pārvaldes juriskonsulte </w:t>
      </w:r>
    </w:p>
    <w:p w:rsidR="007B3646" w:rsidRPr="007B3646" w:rsidRDefault="007B3646" w:rsidP="007B3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7B3646" w:rsidRPr="007B3646" w:rsidRDefault="007B3646" w:rsidP="004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Mārīte </w:t>
      </w:r>
      <w:proofErr w:type="spellStart"/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>Jukša</w:t>
      </w:r>
      <w:proofErr w:type="spellEnd"/>
      <w:r w:rsidRPr="007B3646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</w:t>
      </w:r>
      <w:bookmarkStart w:id="2" w:name="_GoBack"/>
      <w:bookmarkEnd w:id="0"/>
      <w:bookmarkEnd w:id="1"/>
      <w:bookmarkEnd w:id="2"/>
    </w:p>
    <w:sectPr w:rsidR="007B3646" w:rsidRPr="007B3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3"/>
    <w:rsid w:val="00022826"/>
    <w:rsid w:val="00064013"/>
    <w:rsid w:val="00442133"/>
    <w:rsid w:val="004E2B9F"/>
    <w:rsid w:val="00580F7D"/>
    <w:rsid w:val="00653955"/>
    <w:rsid w:val="006823FA"/>
    <w:rsid w:val="00785162"/>
    <w:rsid w:val="007B3646"/>
    <w:rsid w:val="0081096E"/>
    <w:rsid w:val="009C49C7"/>
    <w:rsid w:val="00E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85162"/>
  </w:style>
  <w:style w:type="character" w:styleId="Strong">
    <w:name w:val="Strong"/>
    <w:basedOn w:val="DefaultParagraphFont"/>
    <w:qFormat/>
    <w:rsid w:val="00785162"/>
    <w:rPr>
      <w:b/>
      <w:bCs/>
    </w:rPr>
  </w:style>
  <w:style w:type="table" w:styleId="TableGrid">
    <w:name w:val="Table Grid"/>
    <w:basedOn w:val="TableNormal"/>
    <w:uiPriority w:val="59"/>
    <w:rsid w:val="007B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85162"/>
  </w:style>
  <w:style w:type="character" w:styleId="Strong">
    <w:name w:val="Strong"/>
    <w:basedOn w:val="DefaultParagraphFont"/>
    <w:qFormat/>
    <w:rsid w:val="00785162"/>
    <w:rPr>
      <w:b/>
      <w:bCs/>
    </w:rPr>
  </w:style>
  <w:style w:type="table" w:styleId="TableGrid">
    <w:name w:val="Table Grid"/>
    <w:basedOn w:val="TableNormal"/>
    <w:uiPriority w:val="59"/>
    <w:rsid w:val="007B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11</cp:revision>
  <dcterms:created xsi:type="dcterms:W3CDTF">2016-11-11T07:59:00Z</dcterms:created>
  <dcterms:modified xsi:type="dcterms:W3CDTF">2016-11-30T11:28:00Z</dcterms:modified>
</cp:coreProperties>
</file>