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00" w:rsidRPr="00E75E31" w:rsidRDefault="000A3700" w:rsidP="000A370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0A3700" w:rsidRPr="00E75E31" w:rsidRDefault="000A3700" w:rsidP="000A370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0A3700" w:rsidRPr="00E75E31" w:rsidRDefault="000A3700" w:rsidP="000A370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A3700" w:rsidRPr="00E75E31" w:rsidRDefault="000A3700" w:rsidP="000A370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0A3700" w:rsidRPr="00E75E31" w:rsidRDefault="000A3700" w:rsidP="000A3700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01</w:t>
      </w: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novembrī</w:t>
      </w:r>
    </w:p>
    <w:p w:rsidR="000A3700" w:rsidRPr="00E75E31" w:rsidRDefault="000A3700" w:rsidP="000A37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700" w:rsidRPr="00E75E31" w:rsidRDefault="000A3700" w:rsidP="000A37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0A3700" w:rsidRPr="00E75E31" w:rsidRDefault="000A3700" w:rsidP="000A37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0A3700" w:rsidRPr="00E75E31" w:rsidRDefault="000A3700" w:rsidP="000A37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0A3700" w:rsidRPr="00E75E31" w:rsidRDefault="000A3700" w:rsidP="000A37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E3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Metālā konstrukciju izgatavošana un piegāde Daugavpils pilsētas Ziemassvētku rotājumam</w:t>
      </w:r>
      <w:r w:rsidRPr="00E7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A3700" w:rsidRPr="00E75E31" w:rsidRDefault="000A3700" w:rsidP="000A3700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0A3700" w:rsidRPr="00E75E31" w:rsidTr="00DC302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0A3700" w:rsidRPr="00E75E31" w:rsidTr="00DC302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0A3700" w:rsidRPr="00E75E31" w:rsidTr="00DC302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0A3700" w:rsidRPr="00E75E31" w:rsidTr="00DC302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6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Komercdirektors Māris </w:t>
            </w:r>
            <w:proofErr w:type="spellStart"/>
            <w:r w:rsidR="006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Garkuls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 w:rsidR="006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25907373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 w:rsidR="006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maris.garkuls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0A3700" w:rsidRPr="00E75E31" w:rsidTr="00DC302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0A3700" w:rsidRPr="00E75E31" w:rsidTr="00DC302E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00" w:rsidRPr="00E75E31" w:rsidRDefault="000A3700" w:rsidP="00D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metālā konstrukciju izgatavošanu un piegādi</w:t>
      </w:r>
      <w:r w:rsidRPr="000A37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Ziemassvētku rotājumam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saskaņā ar skicēm (pielikumā atsevišķos failos).</w:t>
      </w:r>
    </w:p>
    <w:p w:rsidR="000A3700" w:rsidRPr="00E75E31" w:rsidRDefault="000A3700" w:rsidP="000A370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0A3700" w:rsidRPr="00E75E31" w:rsidRDefault="000A3700" w:rsidP="000A370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 w:rsidR="008063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novembrim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plkst.: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 w:rsidR="00AD257C" w:rsidRPr="00AD257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AD257C">
        <w:rPr>
          <w:rFonts w:ascii="Times New Roman" w:eastAsia="Times New Roman" w:hAnsi="Times New Roman" w:cs="Times New Roman"/>
          <w:bCs/>
          <w:sz w:val="24"/>
          <w:szCs w:val="24"/>
        </w:rPr>
        <w:t xml:space="preserve"> darba dienām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pēc līguma parakstīšanas.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E75E31">
        <w:rPr>
          <w:rFonts w:ascii="Times New Roman" w:hAnsi="Times New Roman" w:cs="Times New Roman"/>
          <w:sz w:val="24"/>
          <w:szCs w:val="24"/>
        </w:rPr>
        <w:t>;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sz w:val="24"/>
          <w:szCs w:val="24"/>
        </w:rPr>
        <w:t xml:space="preserve">8.1.1.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30 dienām pēc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preču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3700" w:rsidRPr="00391144" w:rsidRDefault="000A3700" w:rsidP="000A3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p w:rsidR="000A3700" w:rsidRPr="00E75E31" w:rsidRDefault="000A3700" w:rsidP="000A37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Pr="000A3700">
        <w:rPr>
          <w:rFonts w:ascii="Times New Roman" w:hAnsi="Times New Roman" w:cs="Times New Roman"/>
          <w:b/>
          <w:sz w:val="24"/>
          <w:szCs w:val="24"/>
          <w:lang w:eastAsia="lv-LV"/>
        </w:rPr>
        <w:t>Metālā konstrukciju izgatavošana un piegāde Daugavpils pilsētas Ziemassvētku rotājumam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75E3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A3700" w:rsidRPr="00E75E31" w:rsidRDefault="000A3700" w:rsidP="000A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Pr="00391144">
        <w:t xml:space="preserve"> </w:t>
      </w:r>
      <w:r w:rsidRPr="000A3700">
        <w:rPr>
          <w:rFonts w:ascii="Times New Roman" w:hAnsi="Times New Roman" w:cs="Times New Roman"/>
          <w:bCs/>
          <w:sz w:val="24"/>
          <w:szCs w:val="24"/>
          <w:lang w:eastAsia="lv-LV"/>
        </w:rPr>
        <w:t>Metālā konstrukciju izgatavošana un piegāde Daugavpils pilsētas Ziemassvētku rotājumam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0A3700" w:rsidRPr="00E75E31" w:rsidRDefault="000A3700" w:rsidP="000A370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0A3700" w:rsidRPr="00E75E31" w:rsidRDefault="000A3700" w:rsidP="000A370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0A3700" w:rsidRPr="00E75E31" w:rsidRDefault="000A3700" w:rsidP="000A370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0A3700" w:rsidRPr="00E75E31" w:rsidTr="00DC302E">
        <w:trPr>
          <w:trHeight w:val="361"/>
        </w:trPr>
        <w:tc>
          <w:tcPr>
            <w:tcW w:w="2694" w:type="dxa"/>
            <w:shd w:val="pct5" w:color="auto" w:fill="FFFFFF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A3700" w:rsidRPr="00E75E31" w:rsidTr="00DC302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0A3700" w:rsidRPr="00E75E31" w:rsidRDefault="000A3700" w:rsidP="00DC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A3700" w:rsidRPr="00E75E3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E75E3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Default="000A3700" w:rsidP="00215F2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Nr.2</w:t>
      </w: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A3700" w:rsidRPr="00E75E31" w:rsidRDefault="000A3700" w:rsidP="000A370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F55941" w:rsidRPr="00E75E31" w:rsidRDefault="00F55941" w:rsidP="00F5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par līguma piešķiršanas tiesībām</w:t>
      </w:r>
    </w:p>
    <w:p w:rsidR="00F55941" w:rsidRPr="00E75E31" w:rsidRDefault="00F55941" w:rsidP="00F5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Pr="000A3700">
        <w:rPr>
          <w:rFonts w:ascii="Times New Roman" w:hAnsi="Times New Roman" w:cs="Times New Roman"/>
          <w:b/>
          <w:sz w:val="24"/>
          <w:szCs w:val="24"/>
          <w:lang w:eastAsia="lv-LV"/>
        </w:rPr>
        <w:t>Metālā konstrukciju izgatavošana un piegāde Daugavpils pilsētas Ziemassvētku rotājumam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700" w:rsidRPr="00E75E31" w:rsidRDefault="000A3700" w:rsidP="000A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0A3700" w:rsidRPr="00E75E31" w:rsidRDefault="000A3700" w:rsidP="000A370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700" w:rsidRPr="00113F1A" w:rsidRDefault="000A3700" w:rsidP="00215F2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22" w:rsidRPr="00215F22">
        <w:rPr>
          <w:rFonts w:ascii="Times New Roman" w:eastAsia="Times New Roman" w:hAnsi="Times New Roman" w:cs="Times New Roman"/>
          <w:sz w:val="24"/>
          <w:szCs w:val="24"/>
        </w:rPr>
        <w:t xml:space="preserve">Nodrošināt metālā konstrukciju izgatavošanu un piegādi Daugavpils pilsētas Ziemassvētku rotājumam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(turpmāk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arī pakalpojums un /vai prece);</w:t>
      </w:r>
    </w:p>
    <w:p w:rsidR="000A3700" w:rsidRDefault="000A3700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0A3700" w:rsidRPr="00113F1A" w:rsidRDefault="006118E1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Preces materiāls</w:t>
      </w:r>
      <w:r w:rsidR="000A37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tērauds</w:t>
      </w:r>
      <w:r w:rsidR="000A370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3700" w:rsidRPr="00113F1A" w:rsidRDefault="000A3700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Piegāde: veic izpildītājs, nodrošinot preču piegāde 1.Pasažieru ielā 6, Daugavpilī, LV-5401;</w:t>
      </w:r>
    </w:p>
    <w:p w:rsidR="000A3700" w:rsidRPr="00B738AC" w:rsidRDefault="000A3700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</w:t>
      </w:r>
      <w:r w:rsidR="006118E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8E1">
        <w:rPr>
          <w:rFonts w:ascii="Times New Roman" w:eastAsia="Times New Roman" w:hAnsi="Times New Roman" w:cs="Times New Roman"/>
          <w:sz w:val="24"/>
          <w:szCs w:val="24"/>
        </w:rPr>
        <w:t xml:space="preserve">darba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dienām pēc līguma parakstīšanas;</w:t>
      </w:r>
    </w:p>
    <w:p w:rsidR="000A3700" w:rsidRPr="00113F1A" w:rsidRDefault="000A3700" w:rsidP="000A370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BED">
        <w:rPr>
          <w:rFonts w:ascii="Times New Roman" w:eastAsia="Times New Roman" w:hAnsi="Times New Roman" w:cs="Times New Roman"/>
          <w:sz w:val="24"/>
          <w:szCs w:val="24"/>
        </w:rPr>
        <w:t xml:space="preserve">Izpildītājs garantē preču kvalitāti atbilstoši </w:t>
      </w:r>
      <w:r w:rsidR="006118E1">
        <w:rPr>
          <w:rFonts w:ascii="Times New Roman" w:eastAsia="Times New Roman" w:hAnsi="Times New Roman" w:cs="Times New Roman"/>
          <w:sz w:val="24"/>
          <w:szCs w:val="24"/>
        </w:rPr>
        <w:t>noteiktas preču kategorijai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700" w:rsidRDefault="000A3700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:rsidR="0047634C" w:rsidRPr="0047634C" w:rsidRDefault="0047634C" w:rsidP="000A3700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Krāsošanas vieds: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pulverkrāsošana</w:t>
      </w:r>
      <w:proofErr w:type="spellEnd"/>
      <w:r w:rsidR="00921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3700" w:rsidRPr="00E232BC" w:rsidRDefault="000A3700" w:rsidP="000A370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A3700" w:rsidRPr="00E232BC" w:rsidRDefault="000A3700" w:rsidP="000A370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32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Preču </w:t>
      </w:r>
      <w:r w:rsidRPr="00E23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parametri</w:t>
      </w:r>
      <w:r w:rsidR="00F55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 apjoms</w:t>
      </w:r>
      <w:r w:rsidRPr="00E23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560"/>
        <w:gridCol w:w="1240"/>
        <w:gridCol w:w="960"/>
        <w:gridCol w:w="3449"/>
      </w:tblGrid>
      <w:tr w:rsidR="0047634C" w:rsidRPr="0047634C" w:rsidTr="0047634C">
        <w:trPr>
          <w:trHeight w:val="46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Skaits, gab</w:t>
            </w:r>
            <w:r w:rsidR="00B7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RAL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Izmēri, mm</w:t>
            </w:r>
          </w:p>
        </w:tc>
      </w:tr>
      <w:tr w:rsidR="0047634C" w:rsidRPr="0047634C" w:rsidTr="0047634C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Papildinājums gaismas strūklakai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 x 2867</w:t>
            </w:r>
          </w:p>
        </w:tc>
      </w:tr>
      <w:tr w:rsidR="0047634C" w:rsidRPr="0047634C" w:rsidTr="0047634C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Metāliska egle (konuss lielais)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3500 x 1540</w:t>
            </w:r>
          </w:p>
        </w:tc>
      </w:tr>
      <w:tr w:rsidR="0047634C" w:rsidRPr="0047634C" w:rsidTr="0047634C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Metāliska egle (konuss mazais)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 x 1100</w:t>
            </w:r>
          </w:p>
        </w:tc>
      </w:tr>
      <w:tr w:rsidR="0047634C" w:rsidRPr="0047634C" w:rsidTr="0047634C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Gaismas strūklaka (karkass)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1412 x 1910</w:t>
            </w:r>
          </w:p>
        </w:tc>
      </w:tr>
      <w:tr w:rsidR="0047634C" w:rsidRPr="0047634C" w:rsidTr="0047634C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Balsts slidotavas rotājumiem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7037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C" w:rsidRPr="0047634C" w:rsidRDefault="0047634C" w:rsidP="0047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4250 x 1700</w:t>
            </w:r>
          </w:p>
        </w:tc>
      </w:tr>
    </w:tbl>
    <w:p w:rsidR="0047634C" w:rsidRDefault="0047634C" w:rsidP="00AD257C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634C" w:rsidRDefault="0047634C" w:rsidP="00AD257C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634C" w:rsidRDefault="0047634C" w:rsidP="00AD257C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257C" w:rsidRDefault="000A3700" w:rsidP="00AD257C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</w:p>
    <w:p w:rsidR="000A3700" w:rsidRPr="00E75E31" w:rsidRDefault="00AD257C" w:rsidP="00AD257C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57C">
        <w:rPr>
          <w:rFonts w:ascii="Times New Roman" w:eastAsia="Times New Roman" w:hAnsi="Times New Roman" w:cs="Times New Roman"/>
          <w:sz w:val="20"/>
          <w:szCs w:val="20"/>
        </w:rPr>
        <w:t xml:space="preserve">Komercdirektors Māris </w:t>
      </w:r>
      <w:proofErr w:type="spellStart"/>
      <w:r w:rsidRPr="00AD257C">
        <w:rPr>
          <w:rFonts w:ascii="Times New Roman" w:eastAsia="Times New Roman" w:hAnsi="Times New Roman" w:cs="Times New Roman"/>
          <w:sz w:val="20"/>
          <w:szCs w:val="20"/>
        </w:rPr>
        <w:t>Garkuls</w:t>
      </w:r>
      <w:proofErr w:type="spellEnd"/>
      <w:r w:rsidRPr="00AD257C">
        <w:rPr>
          <w:rFonts w:ascii="Times New Roman" w:eastAsia="Times New Roman" w:hAnsi="Times New Roman" w:cs="Times New Roman"/>
          <w:sz w:val="20"/>
          <w:szCs w:val="20"/>
        </w:rPr>
        <w:t>, 25907373</w:t>
      </w: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DF0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0A3700" w:rsidRDefault="000A3700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D5" w:rsidRPr="00E75E31" w:rsidRDefault="00DF04D5" w:rsidP="000A3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3700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5B1E08" w:rsidRPr="005B1E08" w:rsidRDefault="005B1E08" w:rsidP="005B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cenu aptaujā </w:t>
      </w:r>
      <w:r w:rsidRPr="005B1E08">
        <w:rPr>
          <w:rFonts w:ascii="Times New Roman" w:eastAsia="Times New Roman" w:hAnsi="Times New Roman" w:cs="Times New Roman"/>
          <w:b/>
          <w:bCs/>
          <w:sz w:val="24"/>
          <w:szCs w:val="24"/>
        </w:rPr>
        <w:t>par līguma piešķiršanas tiesībām</w:t>
      </w:r>
    </w:p>
    <w:p w:rsidR="005B1E08" w:rsidRDefault="005B1E08" w:rsidP="005B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E08">
        <w:rPr>
          <w:rFonts w:ascii="Times New Roman" w:eastAsia="Times New Roman" w:hAnsi="Times New Roman" w:cs="Times New Roman"/>
          <w:b/>
          <w:bCs/>
          <w:sz w:val="24"/>
          <w:szCs w:val="24"/>
        </w:rPr>
        <w:t>“Metālā konstrukciju izgatavošana un piegāde Daugavpils pilsētas Ziemassvētku rotājumam”</w:t>
      </w:r>
    </w:p>
    <w:p w:rsidR="005B1E08" w:rsidRPr="00E75E31" w:rsidRDefault="005B1E08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700" w:rsidRPr="00E75E31" w:rsidRDefault="000A3700" w:rsidP="000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0A3700" w:rsidRPr="00E75E31" w:rsidTr="00DC302E">
        <w:trPr>
          <w:cantSplit/>
        </w:trPr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E75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0A3700" w:rsidRPr="00E75E31" w:rsidTr="00DC302E">
        <w:trPr>
          <w:trHeight w:val="454"/>
        </w:trPr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c>
          <w:tcPr>
            <w:tcW w:w="1402" w:type="pct"/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0A3700" w:rsidRPr="00E75E31" w:rsidRDefault="000A3700" w:rsidP="00D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700" w:rsidRPr="00E75E31" w:rsidRDefault="000A3700" w:rsidP="000A370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0A3700" w:rsidRPr="00E75E31" w:rsidRDefault="000A3700" w:rsidP="000A37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759"/>
        <w:gridCol w:w="1975"/>
        <w:gridCol w:w="1236"/>
        <w:gridCol w:w="1122"/>
        <w:gridCol w:w="1231"/>
        <w:gridCol w:w="1310"/>
        <w:gridCol w:w="2000"/>
      </w:tblGrid>
      <w:tr w:rsidR="00EA7585" w:rsidRPr="00E75E31" w:rsidTr="00EA7585">
        <w:tc>
          <w:tcPr>
            <w:tcW w:w="759" w:type="dxa"/>
          </w:tcPr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Nr.</w:t>
            </w:r>
          </w:p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1975" w:type="dxa"/>
          </w:tcPr>
          <w:p w:rsidR="00EA7585" w:rsidRPr="00E232BC" w:rsidRDefault="00EA7585" w:rsidP="00EA7585">
            <w:pPr>
              <w:tabs>
                <w:tab w:val="num" w:pos="72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A7585">
              <w:rPr>
                <w:b/>
                <w:bCs/>
                <w:iCs/>
                <w:sz w:val="24"/>
                <w:szCs w:val="24"/>
              </w:rPr>
              <w:t>Nosaukums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634C">
              <w:rPr>
                <w:b/>
                <w:bCs/>
                <w:color w:val="000000"/>
                <w:sz w:val="24"/>
                <w:szCs w:val="24"/>
              </w:rPr>
              <w:t>Izmēri, mm</w:t>
            </w:r>
          </w:p>
        </w:tc>
        <w:tc>
          <w:tcPr>
            <w:tcW w:w="1122" w:type="dxa"/>
          </w:tcPr>
          <w:p w:rsidR="00EA7585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075886">
              <w:rPr>
                <w:b/>
                <w:sz w:val="24"/>
                <w:szCs w:val="24"/>
                <w:lang w:eastAsia="ar-SA"/>
              </w:rPr>
              <w:t>Mērvie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>-</w:t>
            </w:r>
          </w:p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075886">
              <w:rPr>
                <w:b/>
                <w:sz w:val="24"/>
                <w:szCs w:val="24"/>
                <w:lang w:eastAsia="ar-SA"/>
              </w:rPr>
              <w:t>nība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31" w:type="dxa"/>
          </w:tcPr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2000" w:type="dxa"/>
          </w:tcPr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EA7585" w:rsidRPr="00E75E31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EA7585" w:rsidRPr="00E75E31" w:rsidTr="00DC7FAA">
        <w:tc>
          <w:tcPr>
            <w:tcW w:w="759" w:type="dxa"/>
          </w:tcPr>
          <w:p w:rsidR="00EA7585" w:rsidRPr="005B1E08" w:rsidRDefault="00EA7585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B1E08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rPr>
                <w:b/>
                <w:color w:val="000000"/>
                <w:sz w:val="24"/>
                <w:szCs w:val="24"/>
              </w:rPr>
            </w:pPr>
            <w:r w:rsidRPr="005B1E08">
              <w:rPr>
                <w:b/>
                <w:color w:val="000000"/>
                <w:sz w:val="24"/>
                <w:szCs w:val="24"/>
              </w:rPr>
              <w:t>Papildinājums</w:t>
            </w:r>
            <w:r w:rsidRPr="0047634C">
              <w:rPr>
                <w:b/>
                <w:color w:val="000000"/>
                <w:sz w:val="24"/>
                <w:szCs w:val="24"/>
              </w:rPr>
              <w:t xml:space="preserve"> gaismas strūklakai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3000 x 2867</w:t>
            </w:r>
          </w:p>
        </w:tc>
        <w:tc>
          <w:tcPr>
            <w:tcW w:w="1122" w:type="dxa"/>
            <w:vMerge w:val="restart"/>
          </w:tcPr>
          <w:p w:rsidR="00EA7585" w:rsidRDefault="00EA7585" w:rsidP="00EA75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A7585" w:rsidRDefault="00EA7585" w:rsidP="00EA75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A7585" w:rsidRPr="00E75E31" w:rsidRDefault="00EA7585" w:rsidP="00EA75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231" w:type="dxa"/>
          </w:tcPr>
          <w:p w:rsidR="00EA7585" w:rsidRPr="00E75E31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EA7585" w:rsidRPr="00E75E31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7585" w:rsidRPr="00E75E31" w:rsidTr="00DC7FAA">
        <w:tc>
          <w:tcPr>
            <w:tcW w:w="759" w:type="dxa"/>
          </w:tcPr>
          <w:p w:rsidR="00EA7585" w:rsidRPr="00E75E31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Pulverkrāsošana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RAL </w:t>
            </w:r>
            <w:r w:rsidRPr="00EA7585">
              <w:rPr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A7585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A7585" w:rsidRPr="00E75E31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5" w:rsidRPr="0047634C" w:rsidRDefault="00EA7585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7585" w:rsidRPr="00E75E31" w:rsidRDefault="00EA7585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FD5015">
        <w:tc>
          <w:tcPr>
            <w:tcW w:w="759" w:type="dxa"/>
          </w:tcPr>
          <w:p w:rsidR="005B1E08" w:rsidRPr="005B1E08" w:rsidRDefault="005B1E08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B1E08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b/>
                <w:color w:val="000000"/>
                <w:sz w:val="24"/>
                <w:szCs w:val="24"/>
              </w:rPr>
            </w:pPr>
            <w:r w:rsidRPr="005B1E08">
              <w:rPr>
                <w:b/>
                <w:color w:val="000000"/>
                <w:sz w:val="24"/>
                <w:szCs w:val="24"/>
              </w:rPr>
              <w:t>Metāliska</w:t>
            </w:r>
            <w:r w:rsidRPr="0047634C">
              <w:rPr>
                <w:b/>
                <w:color w:val="000000"/>
                <w:sz w:val="24"/>
                <w:szCs w:val="24"/>
              </w:rPr>
              <w:t xml:space="preserve"> egle (konuss lielais)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3500 x 1540</w:t>
            </w:r>
          </w:p>
        </w:tc>
        <w:tc>
          <w:tcPr>
            <w:tcW w:w="1122" w:type="dxa"/>
            <w:vMerge w:val="restart"/>
          </w:tcPr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Pr="00E75E31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7A66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FD5015">
        <w:tc>
          <w:tcPr>
            <w:tcW w:w="759" w:type="dxa"/>
          </w:tcPr>
          <w:p w:rsidR="005B1E08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7585">
              <w:rPr>
                <w:color w:val="000000"/>
                <w:sz w:val="24"/>
                <w:szCs w:val="24"/>
              </w:rPr>
              <w:t>Pulverkrāsošana</w:t>
            </w:r>
            <w:proofErr w:type="spellEnd"/>
            <w:r w:rsidRPr="00EA7585">
              <w:rPr>
                <w:color w:val="000000"/>
                <w:sz w:val="24"/>
                <w:szCs w:val="24"/>
              </w:rPr>
              <w:t xml:space="preserve"> RAL 9006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B1E08" w:rsidRPr="00247A66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BF466A">
        <w:tc>
          <w:tcPr>
            <w:tcW w:w="759" w:type="dxa"/>
          </w:tcPr>
          <w:p w:rsidR="005B1E08" w:rsidRPr="005B1E08" w:rsidRDefault="005B1E08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B1E08">
              <w:rPr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b/>
                <w:color w:val="000000"/>
                <w:sz w:val="24"/>
                <w:szCs w:val="24"/>
              </w:rPr>
            </w:pPr>
            <w:r w:rsidRPr="005B1E08">
              <w:rPr>
                <w:b/>
                <w:color w:val="000000"/>
                <w:sz w:val="24"/>
                <w:szCs w:val="24"/>
              </w:rPr>
              <w:t>Metāliska</w:t>
            </w:r>
            <w:r w:rsidRPr="0047634C">
              <w:rPr>
                <w:b/>
                <w:color w:val="000000"/>
                <w:sz w:val="24"/>
                <w:szCs w:val="24"/>
              </w:rPr>
              <w:t xml:space="preserve"> egle (konuss mazais)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2500 x 1100</w:t>
            </w:r>
          </w:p>
        </w:tc>
        <w:tc>
          <w:tcPr>
            <w:tcW w:w="1122" w:type="dxa"/>
            <w:vMerge w:val="restart"/>
          </w:tcPr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Pr="00E75E31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7A66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BF466A">
        <w:tc>
          <w:tcPr>
            <w:tcW w:w="759" w:type="dxa"/>
          </w:tcPr>
          <w:p w:rsidR="005B1E08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3B7D">
              <w:rPr>
                <w:color w:val="000000"/>
                <w:sz w:val="24"/>
                <w:szCs w:val="24"/>
              </w:rPr>
              <w:t>Pulverkrāsošana</w:t>
            </w:r>
            <w:proofErr w:type="spellEnd"/>
            <w:r w:rsidRPr="00B73B7D">
              <w:rPr>
                <w:color w:val="000000"/>
                <w:sz w:val="24"/>
                <w:szCs w:val="24"/>
              </w:rPr>
              <w:t xml:space="preserve"> RAL 9006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B1E08" w:rsidRPr="00247A66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3D7774">
        <w:tc>
          <w:tcPr>
            <w:tcW w:w="759" w:type="dxa"/>
          </w:tcPr>
          <w:p w:rsidR="005B1E08" w:rsidRPr="005B1E08" w:rsidRDefault="005B1E08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B1E08">
              <w:rPr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b/>
                <w:color w:val="000000"/>
                <w:sz w:val="24"/>
                <w:szCs w:val="24"/>
              </w:rPr>
            </w:pPr>
            <w:r w:rsidRPr="0047634C">
              <w:rPr>
                <w:b/>
                <w:color w:val="000000"/>
                <w:sz w:val="24"/>
                <w:szCs w:val="24"/>
              </w:rPr>
              <w:t>Gaismas strūklaka (karkass)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1412 x 1910</w:t>
            </w:r>
          </w:p>
        </w:tc>
        <w:tc>
          <w:tcPr>
            <w:tcW w:w="1122" w:type="dxa"/>
            <w:vMerge w:val="restart"/>
          </w:tcPr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Pr="00247A66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7585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3D7774">
        <w:tc>
          <w:tcPr>
            <w:tcW w:w="759" w:type="dxa"/>
          </w:tcPr>
          <w:p w:rsidR="005B1E08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4.1.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3B7D">
              <w:rPr>
                <w:color w:val="000000"/>
                <w:sz w:val="24"/>
                <w:szCs w:val="24"/>
              </w:rPr>
              <w:t>Pulverkrāsošana</w:t>
            </w:r>
            <w:proofErr w:type="spellEnd"/>
            <w:r w:rsidRPr="00B73B7D">
              <w:rPr>
                <w:color w:val="000000"/>
                <w:sz w:val="24"/>
                <w:szCs w:val="24"/>
              </w:rPr>
              <w:t xml:space="preserve"> RAL 9006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B1E08" w:rsidRPr="00EA7585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3E7BD9">
        <w:tc>
          <w:tcPr>
            <w:tcW w:w="759" w:type="dxa"/>
          </w:tcPr>
          <w:p w:rsidR="005B1E08" w:rsidRPr="005B1E08" w:rsidRDefault="005B1E08" w:rsidP="00EA758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B1E08">
              <w:rPr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b/>
                <w:color w:val="000000"/>
                <w:sz w:val="24"/>
                <w:szCs w:val="24"/>
              </w:rPr>
            </w:pPr>
            <w:r w:rsidRPr="0047634C">
              <w:rPr>
                <w:b/>
                <w:color w:val="000000"/>
                <w:sz w:val="24"/>
                <w:szCs w:val="24"/>
              </w:rPr>
              <w:t xml:space="preserve">Balsts </w:t>
            </w:r>
            <w:r w:rsidRPr="005B1E08">
              <w:rPr>
                <w:b/>
                <w:color w:val="000000"/>
                <w:sz w:val="24"/>
                <w:szCs w:val="24"/>
              </w:rPr>
              <w:t>slidotavas</w:t>
            </w:r>
            <w:r w:rsidRPr="0047634C">
              <w:rPr>
                <w:b/>
                <w:color w:val="000000"/>
                <w:sz w:val="24"/>
                <w:szCs w:val="24"/>
              </w:rPr>
              <w:t xml:space="preserve"> rotājumiem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4250 x 1700</w:t>
            </w:r>
          </w:p>
        </w:tc>
        <w:tc>
          <w:tcPr>
            <w:tcW w:w="1122" w:type="dxa"/>
            <w:vMerge w:val="restart"/>
          </w:tcPr>
          <w:p w:rsidR="005B1E08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B1E08" w:rsidRPr="00247A66" w:rsidRDefault="005B1E08" w:rsidP="005B1E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7585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  <w:r w:rsidRPr="004763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B1E08" w:rsidRPr="00E75E31" w:rsidTr="003E7BD9">
        <w:tc>
          <w:tcPr>
            <w:tcW w:w="759" w:type="dxa"/>
          </w:tcPr>
          <w:p w:rsidR="005B1E08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1E08">
              <w:rPr>
                <w:color w:val="000000"/>
                <w:sz w:val="24"/>
                <w:szCs w:val="24"/>
              </w:rPr>
              <w:t>Pulverkrāsošana</w:t>
            </w:r>
            <w:proofErr w:type="spellEnd"/>
            <w:r w:rsidRPr="005B1E08">
              <w:rPr>
                <w:color w:val="000000"/>
                <w:sz w:val="24"/>
                <w:szCs w:val="24"/>
              </w:rPr>
              <w:t xml:space="preserve"> RAL 7037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B1E08" w:rsidRPr="00EA7585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08" w:rsidRPr="0047634C" w:rsidRDefault="005B1E08" w:rsidP="00EA7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1E08" w:rsidRPr="00E75E31" w:rsidRDefault="005B1E08" w:rsidP="00EA7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7585" w:rsidRPr="00E75E31" w:rsidTr="00F33F40">
        <w:tc>
          <w:tcPr>
            <w:tcW w:w="7633" w:type="dxa"/>
            <w:gridSpan w:val="6"/>
          </w:tcPr>
          <w:p w:rsidR="00EA7585" w:rsidRPr="00E75E31" w:rsidRDefault="00EA7585" w:rsidP="00DC302E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Piegādes izmaksas:</w:t>
            </w:r>
          </w:p>
        </w:tc>
        <w:tc>
          <w:tcPr>
            <w:tcW w:w="2000" w:type="dxa"/>
          </w:tcPr>
          <w:p w:rsidR="00EA7585" w:rsidRPr="00E75E31" w:rsidRDefault="00EA7585" w:rsidP="00DC302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7585" w:rsidRPr="00E75E31" w:rsidTr="0090738B">
        <w:tc>
          <w:tcPr>
            <w:tcW w:w="7633" w:type="dxa"/>
            <w:gridSpan w:val="6"/>
          </w:tcPr>
          <w:p w:rsidR="00EA7585" w:rsidRPr="00E75E31" w:rsidRDefault="00EA7585" w:rsidP="00DC302E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000" w:type="dxa"/>
          </w:tcPr>
          <w:p w:rsidR="00EA7585" w:rsidRPr="00E75E31" w:rsidRDefault="00EA7585" w:rsidP="00DC302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7585" w:rsidRPr="00E75E31" w:rsidTr="00854172">
        <w:tc>
          <w:tcPr>
            <w:tcW w:w="7633" w:type="dxa"/>
            <w:gridSpan w:val="6"/>
          </w:tcPr>
          <w:p w:rsidR="00EA7585" w:rsidRPr="00E75E31" w:rsidRDefault="00EA7585" w:rsidP="00DC302E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2000" w:type="dxa"/>
          </w:tcPr>
          <w:p w:rsidR="00EA7585" w:rsidRPr="00E75E31" w:rsidRDefault="00EA7585" w:rsidP="00DC302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7585" w:rsidRPr="00E75E31" w:rsidTr="008E586E">
        <w:tc>
          <w:tcPr>
            <w:tcW w:w="7633" w:type="dxa"/>
            <w:gridSpan w:val="6"/>
          </w:tcPr>
          <w:p w:rsidR="00EA7585" w:rsidRPr="00E75E31" w:rsidRDefault="00EA7585" w:rsidP="00DC302E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Pavisam k</w:t>
            </w:r>
            <w:r w:rsidRPr="00E75E31">
              <w:rPr>
                <w:b/>
                <w:sz w:val="24"/>
                <w:szCs w:val="24"/>
                <w:lang w:eastAsia="ar-SA"/>
              </w:rPr>
              <w:t>opā ar ___% PVN</w:t>
            </w:r>
          </w:p>
        </w:tc>
        <w:tc>
          <w:tcPr>
            <w:tcW w:w="2000" w:type="dxa"/>
          </w:tcPr>
          <w:p w:rsidR="00EA7585" w:rsidRPr="00E75E31" w:rsidRDefault="00EA7585" w:rsidP="00DC302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Apņemamies (ja Pasūtītājs izvēlēsies šo piedāvājumu) slēgt iepirkuma līgumu un izpildīt visus līguma nosacījumus.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Kontaktpersonas, kurš koordinēs ar līguma izpildi saistītus jautājumus vārds, uzvārds, amats, tālrunis, fakss, e-pasts pasūtījuma veikšanai:_____________________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A3700" w:rsidRPr="0087036B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A3700" w:rsidRPr="00AE1C4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Apņemamies (ja Pasūtītājs izvēlēsies šo piedāvājumu) nodrošināt preču piegādi 1.Pasažieru ielā, Daugavpilī,</w:t>
      </w:r>
      <w:r w:rsidRPr="00AE1C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AE1C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A3700" w:rsidRPr="00AE1C4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4. Preču </w:t>
      </w:r>
      <w:r w:rsidR="00DF04D5">
        <w:rPr>
          <w:rFonts w:ascii="Times New Roman" w:eastAsia="Times New Roman" w:hAnsi="Times New Roman" w:cs="Times New Roman"/>
          <w:sz w:val="24"/>
          <w:szCs w:val="24"/>
        </w:rPr>
        <w:t xml:space="preserve">kvalitātes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garantijas laiks: ____________________________.       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0A3700" w:rsidRPr="00E75E31" w:rsidRDefault="000A3700" w:rsidP="000A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0A3700" w:rsidRPr="00E75E31" w:rsidTr="00DC302E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0A3700" w:rsidRPr="00E75E31" w:rsidTr="00DC302E">
              <w:trPr>
                <w:trHeight w:val="350"/>
              </w:trPr>
              <w:tc>
                <w:tcPr>
                  <w:tcW w:w="0" w:type="auto"/>
                </w:tcPr>
                <w:p w:rsidR="000A3700" w:rsidRPr="00E75E31" w:rsidRDefault="000A3700" w:rsidP="00DC3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0A3700" w:rsidRPr="00E75E31" w:rsidRDefault="000A3700" w:rsidP="00DC3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0A3700" w:rsidRPr="00E75E31" w:rsidRDefault="000A3700" w:rsidP="00DC302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A3700" w:rsidRPr="00E75E31" w:rsidRDefault="000A3700" w:rsidP="00DC302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0A3700" w:rsidRPr="00E75E31" w:rsidRDefault="000A3700" w:rsidP="00DC302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0A3700" w:rsidRPr="00E75E31" w:rsidRDefault="000A3700" w:rsidP="00DC302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00" w:rsidRPr="00E75E31" w:rsidTr="00DC302E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0A3700" w:rsidRPr="00E75E31" w:rsidRDefault="000A3700" w:rsidP="00DC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0A3700" w:rsidRPr="00E75E31" w:rsidRDefault="000A3700" w:rsidP="00DC302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700" w:rsidRPr="00E75E31" w:rsidRDefault="000A3700" w:rsidP="000A3700">
      <w:pPr>
        <w:rPr>
          <w:rFonts w:ascii="Times New Roman" w:hAnsi="Times New Roman" w:cs="Times New Roman"/>
          <w:sz w:val="24"/>
          <w:szCs w:val="24"/>
        </w:rPr>
      </w:pPr>
    </w:p>
    <w:p w:rsidR="009F2F0C" w:rsidRDefault="009F2F0C"/>
    <w:sectPr w:rsidR="009F2F0C" w:rsidSect="00C7503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7E" w:rsidRDefault="00E4447E" w:rsidP="00C7503B">
      <w:pPr>
        <w:spacing w:after="0" w:line="240" w:lineRule="auto"/>
      </w:pPr>
      <w:r>
        <w:separator/>
      </w:r>
    </w:p>
  </w:endnote>
  <w:endnote w:type="continuationSeparator" w:id="0">
    <w:p w:rsidR="00E4447E" w:rsidRDefault="00E4447E" w:rsidP="00C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07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03B" w:rsidRDefault="00C75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503B" w:rsidRDefault="00C7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7E" w:rsidRDefault="00E4447E" w:rsidP="00C7503B">
      <w:pPr>
        <w:spacing w:after="0" w:line="240" w:lineRule="auto"/>
      </w:pPr>
      <w:r>
        <w:separator/>
      </w:r>
    </w:p>
  </w:footnote>
  <w:footnote w:type="continuationSeparator" w:id="0">
    <w:p w:rsidR="00E4447E" w:rsidRDefault="00E4447E" w:rsidP="00C7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00"/>
    <w:rsid w:val="000A3700"/>
    <w:rsid w:val="00215F22"/>
    <w:rsid w:val="0047634C"/>
    <w:rsid w:val="005B1E08"/>
    <w:rsid w:val="006118E1"/>
    <w:rsid w:val="00806361"/>
    <w:rsid w:val="0092129B"/>
    <w:rsid w:val="009F2F0C"/>
    <w:rsid w:val="00AD257C"/>
    <w:rsid w:val="00B73B7D"/>
    <w:rsid w:val="00C7503B"/>
    <w:rsid w:val="00DF04D5"/>
    <w:rsid w:val="00E4447E"/>
    <w:rsid w:val="00EA7585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8B42"/>
  <w15:chartTrackingRefBased/>
  <w15:docId w15:val="{A3560E19-9AC1-4364-A246-DC9FF6AB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0A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3B"/>
  </w:style>
  <w:style w:type="paragraph" w:styleId="Footer">
    <w:name w:val="footer"/>
    <w:basedOn w:val="Normal"/>
    <w:link w:val="FooterChar"/>
    <w:uiPriority w:val="99"/>
    <w:unhideWhenUsed/>
    <w:rsid w:val="00C75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2016-11-01T12:12:00Z</dcterms:created>
  <dcterms:modified xsi:type="dcterms:W3CDTF">2016-11-01T13:09:00Z</dcterms:modified>
</cp:coreProperties>
</file>