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DE" w:rsidRPr="00C0190F" w:rsidRDefault="00FA74DE" w:rsidP="00FA74DE">
      <w:pPr>
        <w:pStyle w:val="Title"/>
        <w:rPr>
          <w:b w:val="0"/>
          <w:bCs w:val="0"/>
        </w:rPr>
      </w:pPr>
      <w:r w:rsidRPr="00C0190F">
        <w:rPr>
          <w:b w:val="0"/>
          <w:bCs w:val="0"/>
        </w:rPr>
        <w:t>LATVIJAS REPUBLIKA</w:t>
      </w:r>
    </w:p>
    <w:p w:rsidR="00FA74DE" w:rsidRPr="00C0190F" w:rsidRDefault="00FA74DE" w:rsidP="00FA74DE">
      <w:pPr>
        <w:pStyle w:val="Title"/>
      </w:pPr>
      <w:r w:rsidRPr="00C0190F">
        <w:t>Daugavpils pilsētas dome</w:t>
      </w:r>
    </w:p>
    <w:p w:rsidR="00FA74DE" w:rsidRPr="00C0190F" w:rsidRDefault="00FA74DE" w:rsidP="00FA74DE">
      <w:pPr>
        <w:pStyle w:val="Title"/>
        <w:rPr>
          <w:b w:val="0"/>
          <w:bCs w:val="0"/>
          <w:caps w:val="0"/>
        </w:rPr>
      </w:pPr>
      <w:proofErr w:type="spellStart"/>
      <w:r w:rsidRPr="00C0190F">
        <w:rPr>
          <w:b w:val="0"/>
          <w:bCs w:val="0"/>
          <w:caps w:val="0"/>
        </w:rPr>
        <w:t>reģ.Nr</w:t>
      </w:r>
      <w:proofErr w:type="spellEnd"/>
      <w:r w:rsidRPr="00C0190F">
        <w:rPr>
          <w:b w:val="0"/>
          <w:bCs w:val="0"/>
          <w:caps w:val="0"/>
        </w:rPr>
        <w:t>. 90000077325</w:t>
      </w:r>
    </w:p>
    <w:p w:rsidR="00FA74DE" w:rsidRPr="00C0190F" w:rsidRDefault="00FA74DE" w:rsidP="00FA74DE">
      <w:pPr>
        <w:pStyle w:val="Title"/>
        <w:rPr>
          <w:caps w:val="0"/>
        </w:rPr>
      </w:pPr>
      <w:r w:rsidRPr="00C0190F">
        <w:rPr>
          <w:b w:val="0"/>
          <w:bCs w:val="0"/>
          <w:caps w:val="0"/>
        </w:rPr>
        <w:t>Kr.Valdemāra iela 1, Daugavpils, LV-5401</w:t>
      </w:r>
    </w:p>
    <w:p w:rsidR="00FA74DE" w:rsidRPr="00C0190F" w:rsidRDefault="00FA74DE" w:rsidP="00FA74DE">
      <w:pPr>
        <w:jc w:val="center"/>
        <w:rPr>
          <w:bCs/>
          <w:caps/>
          <w:lang w:val="lv-LV"/>
        </w:rPr>
      </w:pPr>
    </w:p>
    <w:p w:rsidR="009222BF" w:rsidRPr="00822629" w:rsidRDefault="009222BF" w:rsidP="009222BF">
      <w:pPr>
        <w:jc w:val="center"/>
        <w:rPr>
          <w:bCs/>
          <w:caps/>
          <w:lang w:val="lv-LV"/>
        </w:rPr>
      </w:pPr>
      <w:r w:rsidRPr="00822629">
        <w:rPr>
          <w:bCs/>
          <w:caps/>
          <w:lang w:val="lv-LV"/>
        </w:rPr>
        <w:t>Atklāts konkurss</w:t>
      </w:r>
    </w:p>
    <w:p w:rsidR="009222BF" w:rsidRPr="00822629" w:rsidRDefault="009222BF" w:rsidP="009222BF">
      <w:pPr>
        <w:jc w:val="center"/>
        <w:rPr>
          <w:b/>
          <w:bCs/>
          <w:caps/>
          <w:lang w:val="lv-LV"/>
        </w:rPr>
      </w:pPr>
      <w:r w:rsidRPr="00822629">
        <w:rPr>
          <w:b/>
          <w:bCs/>
          <w:caps/>
          <w:lang w:val="lv-LV"/>
        </w:rPr>
        <w:t>„</w:t>
      </w:r>
      <w:r w:rsidR="006E3D2C" w:rsidRPr="00822629">
        <w:rPr>
          <w:b/>
          <w:bCs/>
          <w:caps/>
          <w:lang w:val="lv-LV"/>
        </w:rPr>
        <w:t>virtuves aprīkojuma un saimniecībā izmantojamo pamatlīdzekļu iegāde Daugavpils pilsētas pašvaldības iestāžu vajadzībām</w:t>
      </w:r>
      <w:r w:rsidRPr="00822629">
        <w:rPr>
          <w:b/>
          <w:bCs/>
          <w:caps/>
          <w:lang w:val="lv-LV"/>
        </w:rPr>
        <w:t>”</w:t>
      </w:r>
    </w:p>
    <w:p w:rsidR="009222BF" w:rsidRPr="00822629" w:rsidRDefault="009222BF" w:rsidP="009222BF">
      <w:pPr>
        <w:jc w:val="center"/>
        <w:rPr>
          <w:bCs/>
          <w:caps/>
          <w:lang w:val="lv-LV"/>
        </w:rPr>
      </w:pPr>
      <w:r w:rsidRPr="00822629">
        <w:rPr>
          <w:bCs/>
          <w:caps/>
          <w:lang w:val="lv-LV"/>
        </w:rPr>
        <w:t>id</w:t>
      </w:r>
      <w:r w:rsidR="006E3D2C" w:rsidRPr="00822629">
        <w:rPr>
          <w:bCs/>
          <w:caps/>
          <w:lang w:val="lv-LV"/>
        </w:rPr>
        <w:t>entifikācijas numurs DPD 2017/75</w:t>
      </w:r>
    </w:p>
    <w:p w:rsidR="00FA74DE" w:rsidRPr="00822629" w:rsidRDefault="00FA74DE" w:rsidP="00FA74DE">
      <w:pPr>
        <w:jc w:val="center"/>
        <w:rPr>
          <w:bCs/>
          <w:caps/>
          <w:lang w:val="lv-LV"/>
        </w:rPr>
      </w:pPr>
    </w:p>
    <w:p w:rsidR="00FA74DE" w:rsidRPr="00822629" w:rsidRDefault="00FA74DE" w:rsidP="00FA74DE">
      <w:pPr>
        <w:suppressAutoHyphens/>
        <w:jc w:val="center"/>
        <w:rPr>
          <w:b/>
          <w:bCs/>
        </w:rPr>
      </w:pPr>
      <w:r w:rsidRPr="00822629">
        <w:rPr>
          <w:b/>
        </w:rPr>
        <w:t>ZIŅOJUMS</w:t>
      </w:r>
      <w:r w:rsidRPr="00822629">
        <w:rPr>
          <w:b/>
          <w:bCs/>
        </w:rPr>
        <w:t xml:space="preserve"> </w:t>
      </w:r>
    </w:p>
    <w:p w:rsidR="00FA74DE" w:rsidRPr="00822629" w:rsidRDefault="00FA74DE" w:rsidP="00FA74DE">
      <w:pPr>
        <w:suppressAutoHyphens/>
        <w:jc w:val="center"/>
        <w:rPr>
          <w:bCs/>
        </w:rPr>
      </w:pPr>
      <w:proofErr w:type="spellStart"/>
      <w:r w:rsidRPr="00822629">
        <w:rPr>
          <w:bCs/>
        </w:rPr>
        <w:t>Daugavpilī</w:t>
      </w:r>
      <w:proofErr w:type="spellEnd"/>
    </w:p>
    <w:p w:rsidR="00FA74DE" w:rsidRPr="00822629" w:rsidRDefault="00CC0D6B" w:rsidP="00FA74DE">
      <w:pPr>
        <w:pStyle w:val="Header"/>
        <w:tabs>
          <w:tab w:val="left" w:pos="720"/>
        </w:tabs>
        <w:spacing w:before="120" w:after="240"/>
        <w:rPr>
          <w:lang w:val="lv-LV"/>
        </w:rPr>
      </w:pPr>
      <w:r w:rsidRPr="00822629">
        <w:rPr>
          <w:lang w:val="lv-LV"/>
        </w:rPr>
        <w:t xml:space="preserve">2017.gada </w:t>
      </w:r>
      <w:r w:rsidR="00531DD6" w:rsidRPr="00822629">
        <w:rPr>
          <w:lang w:val="lv-LV"/>
        </w:rPr>
        <w:t>1.augustā</w:t>
      </w:r>
    </w:p>
    <w:p w:rsidR="00FA74DE" w:rsidRPr="00822629" w:rsidRDefault="006E3D2C" w:rsidP="00FA74DE">
      <w:pPr>
        <w:rPr>
          <w:b/>
          <w:lang w:val="lv-LV"/>
        </w:rPr>
      </w:pPr>
      <w:r w:rsidRPr="00822629">
        <w:rPr>
          <w:b/>
          <w:lang w:val="lv-LV"/>
        </w:rPr>
        <w:t>Par atklātā</w:t>
      </w:r>
      <w:r w:rsidR="00FA74DE" w:rsidRPr="00822629">
        <w:rPr>
          <w:b/>
          <w:lang w:val="lv-LV"/>
        </w:rPr>
        <w:t xml:space="preserve"> konkursa rezultātiem</w:t>
      </w:r>
      <w:r w:rsidRPr="00822629">
        <w:rPr>
          <w:b/>
          <w:lang w:val="lv-LV"/>
        </w:rPr>
        <w:t xml:space="preserve"> </w:t>
      </w:r>
    </w:p>
    <w:p w:rsidR="00E86A80" w:rsidRPr="00822629" w:rsidRDefault="00E86A80" w:rsidP="00E86A80">
      <w:pPr>
        <w:pStyle w:val="StyleStyle2Justified"/>
        <w:numPr>
          <w:ilvl w:val="0"/>
          <w:numId w:val="7"/>
        </w:numPr>
        <w:spacing w:before="120"/>
        <w:ind w:left="357" w:hanging="357"/>
        <w:rPr>
          <w:szCs w:val="24"/>
        </w:rPr>
      </w:pPr>
      <w:r w:rsidRPr="00822629">
        <w:rPr>
          <w:szCs w:val="24"/>
        </w:rPr>
        <w:t>Pasūtītāja nosaukums un rekvizīti: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744"/>
        <w:gridCol w:w="4016"/>
      </w:tblGrid>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b/>
                <w:lang w:val="lv-LV" w:eastAsia="ar-SA"/>
              </w:rPr>
            </w:pPr>
            <w:r w:rsidRPr="00822629">
              <w:rPr>
                <w:b/>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b/>
                <w:lang w:val="lv-LV" w:eastAsia="ar-SA"/>
              </w:rPr>
            </w:pPr>
            <w:r w:rsidRPr="00822629">
              <w:rPr>
                <w:b/>
                <w:lang w:val="lv-LV" w:eastAsia="ar-SA"/>
              </w:rPr>
              <w:t>Daugavpils pilsētas dome</w:t>
            </w:r>
            <w:r w:rsidRPr="00822629">
              <w:rPr>
                <w:lang w:val="lv-LV"/>
              </w:rPr>
              <w:t xml:space="preserve"> </w:t>
            </w:r>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90000077325</w:t>
            </w:r>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Krišjāņa Valdemāra iela 1, Daugavpils, LV-5401</w:t>
            </w:r>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654 04338, 654 21941</w:t>
            </w:r>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CA29B2" w:rsidP="006E3D2C">
            <w:pPr>
              <w:suppressAutoHyphens/>
              <w:rPr>
                <w:lang w:val="lv-LV" w:eastAsia="ar-SA"/>
              </w:rPr>
            </w:pPr>
            <w:hyperlink r:id="rId8" w:history="1">
              <w:r w:rsidR="006E3D2C" w:rsidRPr="00822629">
                <w:rPr>
                  <w:color w:val="0000FF"/>
                  <w:u w:val="single"/>
                  <w:lang w:val="lv-LV" w:eastAsia="ar-SA"/>
                </w:rPr>
                <w:t>info@daugavpils.lv</w:t>
              </w:r>
            </w:hyperlink>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b/>
                <w:lang w:val="lv-LV" w:eastAsia="ar-SA"/>
              </w:rPr>
            </w:pPr>
            <w:r w:rsidRPr="00822629">
              <w:rPr>
                <w:b/>
                <w:lang w:val="lv-LV" w:eastAsia="ar-SA"/>
              </w:rPr>
              <w:t>Daugavpils pilsētas domes Centralizēto iepirkumu nodaļa (308.kab).</w:t>
            </w:r>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 xml:space="preserve">Ilga </w:t>
            </w:r>
            <w:proofErr w:type="spellStart"/>
            <w:r w:rsidRPr="00822629">
              <w:rPr>
                <w:lang w:val="lv-LV" w:eastAsia="ar-SA"/>
              </w:rPr>
              <w:t>Leikuma</w:t>
            </w:r>
            <w:proofErr w:type="spellEnd"/>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 xml:space="preserve">Tālruņa </w:t>
            </w:r>
            <w:proofErr w:type="spellStart"/>
            <w:r w:rsidRPr="00822629">
              <w:rPr>
                <w:lang w:val="lv-LV" w:eastAsia="ar-SA"/>
              </w:rPr>
              <w:t>Nr</w:t>
            </w:r>
            <w:proofErr w:type="spellEnd"/>
            <w:r w:rsidRPr="00822629">
              <w:rPr>
                <w:lang w:val="lv-LV" w:eastAsia="ar-SA"/>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654 04329</w:t>
            </w:r>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 xml:space="preserve">Faksa </w:t>
            </w:r>
            <w:proofErr w:type="spellStart"/>
            <w:r w:rsidRPr="00822629">
              <w:rPr>
                <w:lang w:val="lv-LV" w:eastAsia="ar-SA"/>
              </w:rPr>
              <w:t>Nr</w:t>
            </w:r>
            <w:proofErr w:type="spellEnd"/>
            <w:r w:rsidRPr="00822629">
              <w:rPr>
                <w:lang w:val="lv-LV" w:eastAsia="ar-SA"/>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654 21941</w:t>
            </w:r>
          </w:p>
        </w:tc>
      </w:tr>
      <w:tr w:rsidR="006E3D2C" w:rsidRPr="00822629" w:rsidTr="006E3D2C">
        <w:tc>
          <w:tcPr>
            <w:tcW w:w="3600"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E3D2C" w:rsidRPr="00822629" w:rsidRDefault="00CA29B2" w:rsidP="006E3D2C">
            <w:pPr>
              <w:suppressAutoHyphens/>
              <w:rPr>
                <w:lang w:val="lv-LV" w:eastAsia="ar-SA"/>
              </w:rPr>
            </w:pPr>
            <w:hyperlink r:id="rId9" w:history="1">
              <w:r w:rsidR="006E3D2C" w:rsidRPr="00822629">
                <w:rPr>
                  <w:color w:val="0000FF"/>
                  <w:u w:val="single"/>
                  <w:lang w:val="lv-LV" w:eastAsia="ar-SA"/>
                </w:rPr>
                <w:t>ilga.leikuma@daugavpils.lv</w:t>
              </w:r>
            </w:hyperlink>
          </w:p>
        </w:tc>
      </w:tr>
      <w:tr w:rsidR="006E3D2C" w:rsidRPr="00822629" w:rsidTr="006E3D2C">
        <w:tc>
          <w:tcPr>
            <w:tcW w:w="3600" w:type="dxa"/>
            <w:vMerge w:val="restart"/>
            <w:tcBorders>
              <w:top w:val="single" w:sz="4" w:space="0" w:color="auto"/>
              <w:left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08.00  – 12.00, 13.00  – 18.00</w:t>
            </w:r>
          </w:p>
        </w:tc>
      </w:tr>
      <w:tr w:rsidR="006E3D2C" w:rsidRPr="00822629" w:rsidTr="006E3D2C">
        <w:tc>
          <w:tcPr>
            <w:tcW w:w="3600" w:type="dxa"/>
            <w:vMerge/>
            <w:tcBorders>
              <w:left w:val="single" w:sz="4" w:space="0" w:color="auto"/>
              <w:right w:val="single" w:sz="4" w:space="0" w:color="auto"/>
            </w:tcBorders>
          </w:tcPr>
          <w:p w:rsidR="006E3D2C" w:rsidRPr="00822629" w:rsidRDefault="006E3D2C" w:rsidP="006E3D2C">
            <w:pPr>
              <w:suppressAutoHyphens/>
              <w:rPr>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Otrdiena</w:t>
            </w:r>
          </w:p>
          <w:p w:rsidR="006E3D2C" w:rsidRPr="00822629" w:rsidRDefault="006E3D2C" w:rsidP="006E3D2C">
            <w:pPr>
              <w:suppressAutoHyphens/>
              <w:rPr>
                <w:lang w:val="lv-LV" w:eastAsia="ar-SA"/>
              </w:rPr>
            </w:pPr>
            <w:r w:rsidRPr="00822629">
              <w:rPr>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08.00  – 12.00, 13.00 – 17.00</w:t>
            </w:r>
          </w:p>
        </w:tc>
      </w:tr>
      <w:tr w:rsidR="006E3D2C" w:rsidRPr="00822629" w:rsidTr="006E3D2C">
        <w:tc>
          <w:tcPr>
            <w:tcW w:w="3600" w:type="dxa"/>
            <w:vMerge/>
            <w:tcBorders>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6E3D2C" w:rsidRPr="00822629" w:rsidRDefault="006E3D2C" w:rsidP="006E3D2C">
            <w:pPr>
              <w:suppressAutoHyphens/>
              <w:rPr>
                <w:lang w:val="lv-LV" w:eastAsia="ar-SA"/>
              </w:rPr>
            </w:pPr>
            <w:r w:rsidRPr="00822629">
              <w:rPr>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6E3D2C" w:rsidRPr="00822629" w:rsidRDefault="006E3D2C" w:rsidP="006E3D2C">
            <w:pPr>
              <w:suppressAutoHyphens/>
              <w:rPr>
                <w:lang w:val="lv-LV" w:eastAsia="ar-SA"/>
              </w:rPr>
            </w:pPr>
            <w:r w:rsidRPr="00822629">
              <w:rPr>
                <w:lang w:val="lv-LV" w:eastAsia="ar-SA"/>
              </w:rPr>
              <w:t>08.00 – 12.00, 13.00 – 16.00</w:t>
            </w:r>
          </w:p>
        </w:tc>
      </w:tr>
    </w:tbl>
    <w:p w:rsidR="006E3D2C" w:rsidRPr="00822629" w:rsidRDefault="006E3D2C" w:rsidP="00E10BDC">
      <w:pPr>
        <w:pStyle w:val="StyleStyle2Justified"/>
        <w:numPr>
          <w:ilvl w:val="0"/>
          <w:numId w:val="3"/>
        </w:numPr>
        <w:spacing w:before="120"/>
        <w:ind w:left="357" w:hanging="357"/>
        <w:rPr>
          <w:szCs w:val="24"/>
        </w:rPr>
      </w:pPr>
      <w:r w:rsidRPr="00822629">
        <w:rPr>
          <w:bCs/>
          <w:szCs w:val="24"/>
        </w:rPr>
        <w:t>Pasūtītāji, kuru labā tiek veikts konkurss un līguma slēdzēji</w:t>
      </w:r>
      <w:r w:rsidR="00E86A80" w:rsidRPr="00822629">
        <w:rPr>
          <w:szCs w:val="24"/>
        </w:rPr>
        <w:t xml:space="preserve">: </w:t>
      </w:r>
    </w:p>
    <w:p w:rsidR="006E3D2C" w:rsidRPr="00822629" w:rsidRDefault="006E3D2C" w:rsidP="006E3D2C">
      <w:pPr>
        <w:pStyle w:val="StyleStyle2Justified"/>
        <w:numPr>
          <w:ilvl w:val="1"/>
          <w:numId w:val="3"/>
        </w:numPr>
        <w:spacing w:before="120"/>
        <w:rPr>
          <w:szCs w:val="24"/>
        </w:rPr>
      </w:pPr>
      <w:r w:rsidRPr="00822629">
        <w:rPr>
          <w:szCs w:val="24"/>
        </w:rPr>
        <w:t>Daugavpils pensionāru sociālās apkalpošanas teritoriālais centrs, reģ.Nr.90000065913, 18.novembra iela 354A, Daugavpils, LV-5413, Latvijas Republika;</w:t>
      </w:r>
    </w:p>
    <w:p w:rsidR="006E3D2C" w:rsidRPr="00822629" w:rsidRDefault="006E3D2C" w:rsidP="006E3D2C">
      <w:pPr>
        <w:pStyle w:val="StyleStyle2Justified"/>
        <w:numPr>
          <w:ilvl w:val="1"/>
          <w:numId w:val="3"/>
        </w:numPr>
        <w:spacing w:before="120"/>
        <w:rPr>
          <w:szCs w:val="24"/>
        </w:rPr>
      </w:pPr>
      <w:r w:rsidRPr="00822629">
        <w:rPr>
          <w:szCs w:val="24"/>
        </w:rPr>
        <w:t xml:space="preserve"> Daugavpils pilsētas Izglītības pārvalde, reģistrācijas Nr.90009737220, Saules iela 7, Daugavpils, LV-5401, Latvijas Republika;</w:t>
      </w:r>
    </w:p>
    <w:p w:rsidR="006E3D2C" w:rsidRPr="00822629" w:rsidRDefault="006E3D2C" w:rsidP="006E3D2C">
      <w:pPr>
        <w:pStyle w:val="StyleStyle2Justified"/>
        <w:numPr>
          <w:ilvl w:val="1"/>
          <w:numId w:val="3"/>
        </w:numPr>
        <w:spacing w:before="120"/>
        <w:rPr>
          <w:szCs w:val="24"/>
        </w:rPr>
      </w:pPr>
      <w:r w:rsidRPr="00822629">
        <w:rPr>
          <w:szCs w:val="24"/>
        </w:rPr>
        <w:t xml:space="preserve"> Latgales Zoodārzs, reģ.Nr.90000705874, Vienības iela 27, Daugavpils, LV-5401, Latvijas Republika; </w:t>
      </w:r>
    </w:p>
    <w:p w:rsidR="006E3D2C" w:rsidRPr="00822629" w:rsidRDefault="006E3D2C" w:rsidP="006E3D2C">
      <w:pPr>
        <w:pStyle w:val="StyleStyle2Justified"/>
        <w:numPr>
          <w:ilvl w:val="1"/>
          <w:numId w:val="3"/>
        </w:numPr>
        <w:spacing w:before="120"/>
        <w:rPr>
          <w:szCs w:val="24"/>
        </w:rPr>
      </w:pPr>
      <w:r w:rsidRPr="00822629">
        <w:rPr>
          <w:szCs w:val="24"/>
        </w:rPr>
        <w:t xml:space="preserve"> Daugavpils Novadpētniecības un mākslas muzejs, reģ.Nr.90000030377, Rīgas iela 8, Daugavpils, LV-5401, Latvijas Republika;</w:t>
      </w:r>
    </w:p>
    <w:p w:rsidR="005E3CF7" w:rsidRPr="00822629" w:rsidRDefault="006E3D2C" w:rsidP="006E3D2C">
      <w:pPr>
        <w:pStyle w:val="StyleStyle2Justified"/>
        <w:numPr>
          <w:ilvl w:val="1"/>
          <w:numId w:val="3"/>
        </w:numPr>
        <w:spacing w:before="120"/>
        <w:rPr>
          <w:szCs w:val="24"/>
        </w:rPr>
      </w:pPr>
      <w:r w:rsidRPr="00822629">
        <w:rPr>
          <w:szCs w:val="24"/>
        </w:rPr>
        <w:t xml:space="preserve"> Baltkrievu kultūras centrs, reģ.Nr.90000647330, Smilšu iela 92, Daugavpils, LV-5410, Latvijas Republika</w:t>
      </w:r>
      <w:r w:rsidR="005E3CF7" w:rsidRPr="00822629">
        <w:rPr>
          <w:szCs w:val="24"/>
        </w:rPr>
        <w:t>.</w:t>
      </w:r>
    </w:p>
    <w:p w:rsidR="00E86A80" w:rsidRPr="00822629" w:rsidRDefault="00FA74DE" w:rsidP="00E86A80">
      <w:pPr>
        <w:pStyle w:val="StyleStyle2Justified"/>
        <w:numPr>
          <w:ilvl w:val="0"/>
          <w:numId w:val="7"/>
        </w:numPr>
        <w:spacing w:before="120"/>
        <w:ind w:left="357" w:hanging="357"/>
        <w:rPr>
          <w:szCs w:val="24"/>
        </w:rPr>
      </w:pPr>
      <w:r w:rsidRPr="00822629">
        <w:rPr>
          <w:szCs w:val="24"/>
        </w:rPr>
        <w:lastRenderedPageBreak/>
        <w:t>Iepirkuma ide</w:t>
      </w:r>
      <w:r w:rsidR="00E10BDC" w:rsidRPr="00822629">
        <w:rPr>
          <w:szCs w:val="24"/>
        </w:rPr>
        <w:t>ntifikācijas numurs: DPD 2017/7</w:t>
      </w:r>
      <w:r w:rsidR="006E3D2C" w:rsidRPr="00822629">
        <w:rPr>
          <w:szCs w:val="24"/>
        </w:rPr>
        <w:t>5</w:t>
      </w:r>
      <w:r w:rsidRPr="00822629">
        <w:rPr>
          <w:szCs w:val="24"/>
        </w:rPr>
        <w:t>.</w:t>
      </w:r>
    </w:p>
    <w:p w:rsidR="00E86A80" w:rsidRPr="00822629" w:rsidRDefault="00D70B78" w:rsidP="00E86A80">
      <w:pPr>
        <w:pStyle w:val="StyleStyle2Justified"/>
        <w:numPr>
          <w:ilvl w:val="0"/>
          <w:numId w:val="7"/>
        </w:numPr>
        <w:spacing w:before="120"/>
        <w:ind w:left="357" w:hanging="357"/>
        <w:rPr>
          <w:szCs w:val="24"/>
        </w:rPr>
      </w:pPr>
      <w:r w:rsidRPr="00822629">
        <w:rPr>
          <w:szCs w:val="24"/>
        </w:rPr>
        <w:t>Iepirkuma procedūras veids: a</w:t>
      </w:r>
      <w:r w:rsidR="00FA74DE" w:rsidRPr="00822629">
        <w:rPr>
          <w:szCs w:val="24"/>
        </w:rPr>
        <w:t>tklāts konkurss.</w:t>
      </w:r>
    </w:p>
    <w:p w:rsidR="00E86A80" w:rsidRPr="00822629" w:rsidRDefault="00FA74DE" w:rsidP="006E3D2C">
      <w:pPr>
        <w:pStyle w:val="ListParagraph"/>
        <w:numPr>
          <w:ilvl w:val="0"/>
          <w:numId w:val="7"/>
        </w:numPr>
        <w:spacing w:after="120"/>
        <w:ind w:left="357" w:hanging="357"/>
        <w:jc w:val="both"/>
        <w:rPr>
          <w:lang w:val="lv-LV"/>
        </w:rPr>
      </w:pPr>
      <w:r w:rsidRPr="00822629">
        <w:rPr>
          <w:lang w:val="lv-LV"/>
        </w:rPr>
        <w:t>Iepirkuma priekšmets:</w:t>
      </w:r>
      <w:r w:rsidR="00E86A80" w:rsidRPr="00822629">
        <w:rPr>
          <w:lang w:val="lv-LV"/>
        </w:rPr>
        <w:t xml:space="preserve"> </w:t>
      </w:r>
      <w:r w:rsidR="006E3D2C" w:rsidRPr="00822629">
        <w:rPr>
          <w:bCs/>
          <w:lang w:val="lv-LV"/>
        </w:rPr>
        <w:t xml:space="preserve">Virtuves aprīkojuma un saimniecībā izmantojamo pamatlīdzekļu piegāde Daugavpils pilsētas pašvaldības iestāžu vajadzībām, atbilstoši tehniskajām </w:t>
      </w:r>
      <w:r w:rsidR="00822629" w:rsidRPr="00822629">
        <w:rPr>
          <w:bCs/>
          <w:lang w:val="lv-LV"/>
        </w:rPr>
        <w:t>specifikācijām un atklātā k</w:t>
      </w:r>
      <w:r w:rsidR="006E3D2C" w:rsidRPr="00822629">
        <w:rPr>
          <w:bCs/>
          <w:lang w:val="lv-LV"/>
        </w:rPr>
        <w:t>onkursa nolikuma prasībām</w:t>
      </w:r>
      <w:r w:rsidR="00E86A80" w:rsidRPr="00822629">
        <w:rPr>
          <w:lang w:val="lv-LV"/>
        </w:rPr>
        <w:t>.</w:t>
      </w:r>
    </w:p>
    <w:p w:rsidR="00972142" w:rsidRPr="00822629" w:rsidRDefault="00972142" w:rsidP="00972142">
      <w:pPr>
        <w:pStyle w:val="BodyTextIndent"/>
        <w:numPr>
          <w:ilvl w:val="0"/>
          <w:numId w:val="7"/>
        </w:numPr>
        <w:tabs>
          <w:tab w:val="left" w:pos="0"/>
        </w:tabs>
        <w:jc w:val="both"/>
        <w:rPr>
          <w:bCs/>
          <w:lang w:val="lv-LV"/>
        </w:rPr>
      </w:pPr>
      <w:r w:rsidRPr="00822629">
        <w:rPr>
          <w:lang w:val="lv-LV"/>
        </w:rPr>
        <w:t xml:space="preserve">Iepirkuma priekšmets sadalīts šādās </w:t>
      </w:r>
      <w:r w:rsidR="006E3D2C" w:rsidRPr="00822629">
        <w:rPr>
          <w:lang w:val="lv-LV"/>
        </w:rPr>
        <w:t>6</w:t>
      </w:r>
      <w:r w:rsidRPr="00822629">
        <w:rPr>
          <w:lang w:val="lv-LV"/>
        </w:rPr>
        <w:t xml:space="preserve"> (</w:t>
      </w:r>
      <w:r w:rsidR="006E3D2C" w:rsidRPr="00822629">
        <w:rPr>
          <w:lang w:val="lv-LV"/>
        </w:rPr>
        <w:t>sešās</w:t>
      </w:r>
      <w:r w:rsidRPr="00822629">
        <w:rPr>
          <w:lang w:val="lv-LV"/>
        </w:rPr>
        <w:t>) daļās:</w:t>
      </w:r>
    </w:p>
    <w:p w:rsidR="006E3D2C" w:rsidRPr="00822629" w:rsidRDefault="006E3D2C" w:rsidP="006E3D2C">
      <w:pPr>
        <w:pStyle w:val="StyleStyle2Justified"/>
        <w:numPr>
          <w:ilvl w:val="1"/>
          <w:numId w:val="3"/>
        </w:numPr>
        <w:tabs>
          <w:tab w:val="clear" w:pos="1080"/>
          <w:tab w:val="left" w:pos="0"/>
          <w:tab w:val="left" w:pos="709"/>
        </w:tabs>
        <w:spacing w:before="0"/>
        <w:ind w:left="788" w:hanging="431"/>
        <w:rPr>
          <w:szCs w:val="24"/>
          <w:lang w:eastAsia="lv-LV"/>
        </w:rPr>
      </w:pPr>
      <w:r w:rsidRPr="00822629">
        <w:rPr>
          <w:b/>
          <w:color w:val="000000"/>
          <w:szCs w:val="24"/>
        </w:rPr>
        <w:t xml:space="preserve">1.DAĻA: </w:t>
      </w:r>
      <w:r w:rsidRPr="00822629">
        <w:rPr>
          <w:color w:val="000000"/>
          <w:szCs w:val="24"/>
        </w:rPr>
        <w:t xml:space="preserve">Virtuves aprīkojuma un elektroiekārtu piegāde </w:t>
      </w:r>
      <w:r w:rsidRPr="00822629">
        <w:rPr>
          <w:bCs/>
          <w:color w:val="000000"/>
          <w:szCs w:val="24"/>
          <w:lang w:eastAsia="ar-SA"/>
        </w:rPr>
        <w:t xml:space="preserve">Daugavpils pensionāru sociālās apkalpošanas teritoriālais centra vajadzībām; </w:t>
      </w:r>
      <w:r w:rsidRPr="00822629">
        <w:rPr>
          <w:szCs w:val="24"/>
        </w:rPr>
        <w:t xml:space="preserve">CPV galvenais kods: </w:t>
      </w:r>
      <w:r w:rsidRPr="00822629">
        <w:rPr>
          <w:szCs w:val="24"/>
          <w:lang w:eastAsia="lv-LV"/>
        </w:rPr>
        <w:t xml:space="preserve"> 42000000-6 (Ražošanas iekārtas); papildu CPV kodi: 39713100-4 (Trauku mazgājamās mašīnas), 42513100-6 (Saldēšanas iekārtas), 39711320-8 (Elektriskie tējas aparāti), 42215100-7 (Pārtikas smalcināšanas ierīces), 39151200-7 (Darba galdi), 39721400-6 (Caurteces ūdens sildītāji vai ūdens sildīšanas katli, kas nav darbināmi ar elektrību), 39221190-5 (Trauku žāvēšanas režģi), 39713200-5 (Veļas mazgājamās mašīnas un žāvētāji), 42718200-4 (Gludināšanas preses);</w:t>
      </w:r>
    </w:p>
    <w:p w:rsidR="006E3D2C" w:rsidRPr="00822629" w:rsidRDefault="006E3D2C" w:rsidP="006E3D2C">
      <w:pPr>
        <w:pStyle w:val="StyleStyle2Justified"/>
        <w:numPr>
          <w:ilvl w:val="1"/>
          <w:numId w:val="3"/>
        </w:numPr>
        <w:tabs>
          <w:tab w:val="clear" w:pos="1080"/>
          <w:tab w:val="left" w:pos="709"/>
        </w:tabs>
        <w:spacing w:before="0"/>
        <w:rPr>
          <w:szCs w:val="24"/>
          <w:lang w:eastAsia="lv-LV"/>
        </w:rPr>
      </w:pPr>
      <w:r w:rsidRPr="00822629">
        <w:rPr>
          <w:color w:val="000000"/>
          <w:szCs w:val="24"/>
        </w:rPr>
        <w:t xml:space="preserve"> </w:t>
      </w:r>
      <w:r w:rsidRPr="00822629">
        <w:rPr>
          <w:b/>
          <w:color w:val="000000"/>
          <w:szCs w:val="24"/>
        </w:rPr>
        <w:t>2.DAĻA</w:t>
      </w:r>
      <w:r w:rsidRPr="00822629">
        <w:rPr>
          <w:color w:val="000000"/>
          <w:szCs w:val="24"/>
        </w:rPr>
        <w:t xml:space="preserve">: Mauriņa traktora un dzīvžoga šķēru piegāde </w:t>
      </w:r>
      <w:r w:rsidRPr="00822629">
        <w:rPr>
          <w:bCs/>
          <w:color w:val="000000"/>
          <w:szCs w:val="24"/>
          <w:lang w:eastAsia="ar-SA"/>
        </w:rPr>
        <w:t xml:space="preserve">Daugavpils pensionāru sociālās apkalpošanas teritoriālais centra vajadzībām; </w:t>
      </w:r>
      <w:r w:rsidRPr="00822629">
        <w:rPr>
          <w:szCs w:val="24"/>
        </w:rPr>
        <w:t xml:space="preserve">CPV galvenais kods: </w:t>
      </w:r>
      <w:r w:rsidRPr="00822629">
        <w:rPr>
          <w:szCs w:val="24"/>
          <w:lang w:eastAsia="lv-LV"/>
        </w:rPr>
        <w:t xml:space="preserve"> 42000000-6 (Ražošanas iekārtas); papildu CPV kodi: 16311100-9 (Zālāju, parku vai sporta laukumu pļāvēji);</w:t>
      </w:r>
    </w:p>
    <w:p w:rsidR="006E3D2C" w:rsidRPr="00822629" w:rsidRDefault="006E3D2C" w:rsidP="006E3D2C">
      <w:pPr>
        <w:pStyle w:val="StyleStyle2Justified"/>
        <w:numPr>
          <w:ilvl w:val="1"/>
          <w:numId w:val="3"/>
        </w:numPr>
        <w:tabs>
          <w:tab w:val="clear" w:pos="1080"/>
          <w:tab w:val="left" w:pos="0"/>
          <w:tab w:val="left" w:pos="709"/>
        </w:tabs>
        <w:spacing w:before="120"/>
        <w:rPr>
          <w:szCs w:val="24"/>
          <w:lang w:eastAsia="lv-LV"/>
        </w:rPr>
      </w:pPr>
      <w:r w:rsidRPr="00822629">
        <w:rPr>
          <w:color w:val="000000"/>
          <w:szCs w:val="24"/>
        </w:rPr>
        <w:t xml:space="preserve"> </w:t>
      </w:r>
      <w:r w:rsidRPr="00822629">
        <w:rPr>
          <w:b/>
          <w:color w:val="000000"/>
          <w:szCs w:val="24"/>
        </w:rPr>
        <w:t>3.DAĻA</w:t>
      </w:r>
      <w:r w:rsidRPr="00822629">
        <w:rPr>
          <w:color w:val="000000"/>
          <w:szCs w:val="24"/>
        </w:rPr>
        <w:t xml:space="preserve"> Virtuves aprīkojuma un elektroiekārtu piegāde un uzstādīšana Daugavpils pilsētas izglītības iestāžu vajadzībām; </w:t>
      </w:r>
      <w:r w:rsidRPr="00822629">
        <w:rPr>
          <w:szCs w:val="24"/>
        </w:rPr>
        <w:t xml:space="preserve">CPV galvenais kods: </w:t>
      </w:r>
      <w:r w:rsidRPr="00822629">
        <w:rPr>
          <w:szCs w:val="24"/>
          <w:lang w:eastAsia="lv-LV"/>
        </w:rPr>
        <w:t xml:space="preserve"> 42000000-6 (Ražošanas iekārtas); papildu CPV kodi: 39141000-2 (Virtuves mēbeles un iekārtas), 39151200-7 (Darba galdi), 42214000-9 (cepeškrāsnis, lauksaimniecības produktu žāvētavas un iekārtas ēdiena gatavošanai vai termiskajai apstrādei), 42215100-7 (Pārtikas smalcināšanas ierīces), 39711211-1 (Pārtikas mikseri), 39713100-4 (Trauku mazgājamās mašīnas), 42716200-0 (Žāvēšanas iekārtas);</w:t>
      </w:r>
    </w:p>
    <w:p w:rsidR="006E3D2C" w:rsidRPr="00822629" w:rsidRDefault="006E3D2C" w:rsidP="006E3D2C">
      <w:pPr>
        <w:pStyle w:val="StyleStyle2Justified"/>
        <w:numPr>
          <w:ilvl w:val="1"/>
          <w:numId w:val="3"/>
        </w:numPr>
        <w:tabs>
          <w:tab w:val="clear" w:pos="1080"/>
          <w:tab w:val="left" w:pos="0"/>
          <w:tab w:val="left" w:pos="709"/>
        </w:tabs>
        <w:spacing w:before="120"/>
        <w:rPr>
          <w:szCs w:val="24"/>
          <w:lang w:eastAsia="lv-LV"/>
        </w:rPr>
      </w:pPr>
      <w:r w:rsidRPr="00822629">
        <w:rPr>
          <w:bCs/>
          <w:szCs w:val="24"/>
          <w:lang w:eastAsia="ar-SA"/>
        </w:rPr>
        <w:t xml:space="preserve"> </w:t>
      </w:r>
      <w:r w:rsidRPr="00822629">
        <w:rPr>
          <w:b/>
          <w:color w:val="000000"/>
          <w:szCs w:val="24"/>
        </w:rPr>
        <w:t>4.DAĻA</w:t>
      </w:r>
      <w:r w:rsidRPr="00822629">
        <w:rPr>
          <w:bCs/>
          <w:szCs w:val="24"/>
          <w:lang w:eastAsia="ar-SA"/>
        </w:rPr>
        <w:t xml:space="preserve"> Saimniecībā izmantojamo pamatlīdzekļu</w:t>
      </w:r>
      <w:r w:rsidRPr="00822629">
        <w:rPr>
          <w:b/>
          <w:bCs/>
          <w:szCs w:val="24"/>
          <w:lang w:eastAsia="ar-SA"/>
        </w:rPr>
        <w:t xml:space="preserve"> </w:t>
      </w:r>
      <w:r w:rsidRPr="00822629">
        <w:rPr>
          <w:bCs/>
          <w:szCs w:val="24"/>
          <w:lang w:eastAsia="ar-SA"/>
        </w:rPr>
        <w:t xml:space="preserve">piegāde Latgales Zoodārza </w:t>
      </w:r>
      <w:r w:rsidRPr="00822629">
        <w:rPr>
          <w:bCs/>
          <w:color w:val="000000"/>
          <w:szCs w:val="24"/>
          <w:lang w:eastAsia="ar-SA"/>
        </w:rPr>
        <w:t xml:space="preserve">vajadzībām; </w:t>
      </w:r>
      <w:r w:rsidRPr="00822629">
        <w:rPr>
          <w:szCs w:val="24"/>
        </w:rPr>
        <w:t xml:space="preserve">CPV galvenais kods: </w:t>
      </w:r>
      <w:r w:rsidRPr="00822629">
        <w:rPr>
          <w:szCs w:val="24"/>
          <w:lang w:eastAsia="lv-LV"/>
        </w:rPr>
        <w:t xml:space="preserve"> 42000000-6 (Ražošanas iekārtas); papildu CPV kodi: </w:t>
      </w:r>
      <w:r w:rsidRPr="00822629">
        <w:rPr>
          <w:szCs w:val="24"/>
        </w:rPr>
        <w:t>42500000-1 (Dzesēšanas un ventilācijas iekārtas), 39141300-5 (Skapji);</w:t>
      </w:r>
    </w:p>
    <w:p w:rsidR="006E3D2C" w:rsidRPr="00822629" w:rsidRDefault="006E3D2C" w:rsidP="006E3D2C">
      <w:pPr>
        <w:pStyle w:val="StyleStyle2Justified"/>
        <w:numPr>
          <w:ilvl w:val="1"/>
          <w:numId w:val="3"/>
        </w:numPr>
        <w:tabs>
          <w:tab w:val="clear" w:pos="1080"/>
          <w:tab w:val="left" w:pos="0"/>
          <w:tab w:val="left" w:pos="709"/>
        </w:tabs>
        <w:spacing w:before="120"/>
        <w:rPr>
          <w:szCs w:val="24"/>
          <w:lang w:eastAsia="lv-LV"/>
        </w:rPr>
      </w:pPr>
      <w:r w:rsidRPr="00822629">
        <w:rPr>
          <w:szCs w:val="24"/>
        </w:rPr>
        <w:t xml:space="preserve"> </w:t>
      </w:r>
      <w:r w:rsidRPr="00822629">
        <w:rPr>
          <w:b/>
          <w:color w:val="000000"/>
          <w:szCs w:val="24"/>
        </w:rPr>
        <w:t>5.DAĻA</w:t>
      </w:r>
      <w:r w:rsidRPr="00822629">
        <w:rPr>
          <w:color w:val="000000"/>
          <w:szCs w:val="24"/>
        </w:rPr>
        <w:t xml:space="preserve"> Elektroiekārtu piegāde </w:t>
      </w:r>
      <w:r w:rsidRPr="00822629">
        <w:rPr>
          <w:szCs w:val="24"/>
        </w:rPr>
        <w:t xml:space="preserve">Daugavpils Novadpētniecības un mākslas muzeja vajadzībām; CPV galvenais kods: </w:t>
      </w:r>
      <w:r w:rsidRPr="00822629">
        <w:rPr>
          <w:szCs w:val="24"/>
          <w:lang w:eastAsia="lv-LV"/>
        </w:rPr>
        <w:t xml:space="preserve"> 42000000-6 (Ražošanas iekārtas); papildu CPV kodi: </w:t>
      </w:r>
      <w:r w:rsidRPr="00822629">
        <w:rPr>
          <w:szCs w:val="24"/>
        </w:rPr>
        <w:t>39713430-6 (Putekļu sūcēji), 39711362-4 (Mikroviļņu krāsnis), 39711320-8 (Elektriskie tējas aparāti), 32324000-0 (Televizori),</w:t>
      </w:r>
      <w:r w:rsidRPr="00822629">
        <w:rPr>
          <w:szCs w:val="24"/>
          <w:lang w:eastAsia="lv-LV"/>
        </w:rPr>
        <w:t xml:space="preserve"> </w:t>
      </w:r>
      <w:r w:rsidRPr="00822629">
        <w:rPr>
          <w:szCs w:val="24"/>
        </w:rPr>
        <w:t>43830000-0 (Elektroinstrumenti);</w:t>
      </w:r>
    </w:p>
    <w:p w:rsidR="00972142" w:rsidRPr="00822629" w:rsidRDefault="006E3D2C" w:rsidP="006E3D2C">
      <w:pPr>
        <w:pStyle w:val="StyleStyle2Justified"/>
        <w:numPr>
          <w:ilvl w:val="1"/>
          <w:numId w:val="3"/>
        </w:numPr>
        <w:tabs>
          <w:tab w:val="clear" w:pos="1080"/>
          <w:tab w:val="left" w:pos="0"/>
          <w:tab w:val="left" w:pos="709"/>
        </w:tabs>
        <w:spacing w:before="120"/>
        <w:rPr>
          <w:szCs w:val="24"/>
          <w:lang w:eastAsia="lv-LV"/>
        </w:rPr>
      </w:pPr>
      <w:r w:rsidRPr="00822629">
        <w:rPr>
          <w:szCs w:val="24"/>
        </w:rPr>
        <w:t xml:space="preserve"> </w:t>
      </w:r>
      <w:r w:rsidRPr="00822629">
        <w:rPr>
          <w:b/>
          <w:szCs w:val="24"/>
        </w:rPr>
        <w:t>6.DAĻA</w:t>
      </w:r>
      <w:r w:rsidRPr="00822629">
        <w:rPr>
          <w:szCs w:val="24"/>
        </w:rPr>
        <w:t xml:space="preserve"> Elektroiekārtu piegāde Baltkrievu kultūras centra vajadzībām; CPV galvenais kods: </w:t>
      </w:r>
      <w:r w:rsidRPr="00822629">
        <w:rPr>
          <w:szCs w:val="24"/>
          <w:lang w:eastAsia="lv-LV"/>
        </w:rPr>
        <w:t xml:space="preserve"> 42000000-6 (Ražošanas iekārtas); papildu CPV kodi: </w:t>
      </w:r>
      <w:r w:rsidRPr="00822629">
        <w:rPr>
          <w:szCs w:val="24"/>
        </w:rPr>
        <w:t>39713430-6 (Putekļu sūcēji), 39713500-8 (Elektriskie gludekļi), 42715000-1 (Šujmašīnas).</w:t>
      </w:r>
    </w:p>
    <w:p w:rsidR="00E86A80" w:rsidRPr="00822629" w:rsidRDefault="00E41E7B" w:rsidP="00E86A80">
      <w:pPr>
        <w:pStyle w:val="StyleStyle2Justified"/>
        <w:numPr>
          <w:ilvl w:val="0"/>
          <w:numId w:val="7"/>
        </w:numPr>
        <w:spacing w:before="120"/>
        <w:ind w:left="357" w:hanging="357"/>
        <w:rPr>
          <w:szCs w:val="24"/>
        </w:rPr>
      </w:pPr>
      <w:r w:rsidRPr="00822629">
        <w:rPr>
          <w:szCs w:val="24"/>
        </w:rPr>
        <w:t>Iepriekšējais informatīvais paziņojums – nav publicēts.</w:t>
      </w:r>
    </w:p>
    <w:p w:rsidR="00E86A80" w:rsidRPr="00822629" w:rsidRDefault="00633AD0" w:rsidP="00E86A80">
      <w:pPr>
        <w:pStyle w:val="StyleStyle2Justified"/>
        <w:numPr>
          <w:ilvl w:val="0"/>
          <w:numId w:val="7"/>
        </w:numPr>
        <w:spacing w:before="120"/>
        <w:ind w:left="357" w:hanging="357"/>
        <w:rPr>
          <w:szCs w:val="24"/>
        </w:rPr>
      </w:pPr>
      <w:r w:rsidRPr="00822629">
        <w:rPr>
          <w:szCs w:val="24"/>
        </w:rPr>
        <w:t xml:space="preserve">Datums, kad paziņojums par līgumu publicēts Iepirkumu uzraudzības biroja </w:t>
      </w:r>
      <w:r w:rsidR="00202F18" w:rsidRPr="00822629">
        <w:rPr>
          <w:szCs w:val="24"/>
        </w:rPr>
        <w:t>tīmekļvietnē</w:t>
      </w:r>
      <w:r w:rsidRPr="00822629">
        <w:rPr>
          <w:szCs w:val="24"/>
        </w:rPr>
        <w:t xml:space="preserve"> – 2017.gada </w:t>
      </w:r>
      <w:r w:rsidR="006E3D2C" w:rsidRPr="00822629">
        <w:rPr>
          <w:szCs w:val="24"/>
        </w:rPr>
        <w:t>29.maijs</w:t>
      </w:r>
      <w:r w:rsidR="00A5705E" w:rsidRPr="00822629">
        <w:rPr>
          <w:szCs w:val="24"/>
        </w:rPr>
        <w:t>.</w:t>
      </w:r>
    </w:p>
    <w:p w:rsidR="00E86A80" w:rsidRPr="00822629" w:rsidRDefault="00E86A80" w:rsidP="00E86A80">
      <w:pPr>
        <w:pStyle w:val="StyleStyle2Justified"/>
        <w:numPr>
          <w:ilvl w:val="0"/>
          <w:numId w:val="7"/>
        </w:numPr>
        <w:spacing w:before="120"/>
        <w:ind w:left="357" w:hanging="357"/>
        <w:rPr>
          <w:szCs w:val="24"/>
        </w:rPr>
      </w:pPr>
      <w:r w:rsidRPr="00822629">
        <w:rPr>
          <w:szCs w:val="24"/>
          <w:lang w:eastAsia="ar-SA"/>
        </w:rPr>
        <w:t>Iepirkuma komisijas sastāvs:</w:t>
      </w:r>
    </w:p>
    <w:tbl>
      <w:tblPr>
        <w:tblW w:w="0" w:type="auto"/>
        <w:tblInd w:w="108" w:type="dxa"/>
        <w:tblLook w:val="0000" w:firstRow="0" w:lastRow="0" w:firstColumn="0" w:lastColumn="0" w:noHBand="0" w:noVBand="0"/>
      </w:tblPr>
      <w:tblGrid>
        <w:gridCol w:w="2977"/>
        <w:gridCol w:w="6203"/>
      </w:tblGrid>
      <w:tr w:rsidR="006E3D2C" w:rsidRPr="00822629" w:rsidTr="006E3D2C">
        <w:trPr>
          <w:trHeight w:val="712"/>
        </w:trPr>
        <w:tc>
          <w:tcPr>
            <w:tcW w:w="2977" w:type="dxa"/>
          </w:tcPr>
          <w:p w:rsidR="006E3D2C" w:rsidRPr="00822629" w:rsidRDefault="006E3D2C" w:rsidP="008A492C">
            <w:pPr>
              <w:rPr>
                <w:lang w:val="lv-LV"/>
              </w:rPr>
            </w:pPr>
            <w:r w:rsidRPr="00822629">
              <w:rPr>
                <w:lang w:val="lv-LV"/>
              </w:rPr>
              <w:t>Komisijas priekšsēdētāja:</w:t>
            </w:r>
          </w:p>
          <w:p w:rsidR="006E3D2C" w:rsidRPr="00822629" w:rsidRDefault="006E3D2C" w:rsidP="008A492C">
            <w:pPr>
              <w:rPr>
                <w:lang w:val="lv-LV"/>
              </w:rPr>
            </w:pPr>
          </w:p>
        </w:tc>
        <w:tc>
          <w:tcPr>
            <w:tcW w:w="6203" w:type="dxa"/>
          </w:tcPr>
          <w:p w:rsidR="006E3D2C" w:rsidRPr="00822629" w:rsidRDefault="006E3D2C" w:rsidP="008A492C">
            <w:pPr>
              <w:jc w:val="both"/>
              <w:rPr>
                <w:lang w:val="lv-LV"/>
              </w:rPr>
            </w:pPr>
            <w:r w:rsidRPr="00822629">
              <w:rPr>
                <w:lang w:val="lv-LV"/>
              </w:rPr>
              <w:t>Jurate Kornutjaka – Daugavpils pilsētas domes Centralizēto iepirkumu nodaļas vadītāja,</w:t>
            </w:r>
          </w:p>
        </w:tc>
      </w:tr>
      <w:tr w:rsidR="006E3D2C" w:rsidRPr="00822629" w:rsidTr="006E3D2C">
        <w:trPr>
          <w:trHeight w:val="712"/>
        </w:trPr>
        <w:tc>
          <w:tcPr>
            <w:tcW w:w="2977" w:type="dxa"/>
          </w:tcPr>
          <w:p w:rsidR="006E3D2C" w:rsidRPr="00822629" w:rsidRDefault="006E3D2C" w:rsidP="008A492C">
            <w:pPr>
              <w:spacing w:after="80"/>
              <w:rPr>
                <w:lang w:val="lv-LV"/>
              </w:rPr>
            </w:pPr>
            <w:r w:rsidRPr="00822629">
              <w:rPr>
                <w:lang w:val="lv-LV"/>
              </w:rPr>
              <w:lastRenderedPageBreak/>
              <w:t>Komisijas priekšsēdētājas vietnieks</w:t>
            </w:r>
          </w:p>
          <w:p w:rsidR="006E3D2C" w:rsidRPr="00822629" w:rsidRDefault="006E3D2C" w:rsidP="008A492C">
            <w:pPr>
              <w:spacing w:after="80"/>
              <w:rPr>
                <w:lang w:val="lv-LV"/>
              </w:rPr>
            </w:pPr>
            <w:r w:rsidRPr="00822629">
              <w:rPr>
                <w:lang w:val="lv-LV"/>
              </w:rPr>
              <w:t>Komisijas locekļi</w:t>
            </w:r>
          </w:p>
          <w:p w:rsidR="006E3D2C" w:rsidRPr="00822629" w:rsidRDefault="006E3D2C" w:rsidP="008A492C">
            <w:pPr>
              <w:spacing w:after="80"/>
              <w:rPr>
                <w:lang w:val="lv-LV"/>
              </w:rPr>
            </w:pPr>
          </w:p>
        </w:tc>
        <w:tc>
          <w:tcPr>
            <w:tcW w:w="6203" w:type="dxa"/>
          </w:tcPr>
          <w:p w:rsidR="006E3D2C" w:rsidRPr="00822629" w:rsidRDefault="006E3D2C" w:rsidP="008A492C">
            <w:pPr>
              <w:spacing w:after="80"/>
              <w:jc w:val="both"/>
              <w:rPr>
                <w:lang w:val="lv-LV"/>
              </w:rPr>
            </w:pPr>
            <w:r w:rsidRPr="00822629">
              <w:rPr>
                <w:lang w:val="lv-LV"/>
              </w:rPr>
              <w:t xml:space="preserve">Anatolijs </w:t>
            </w:r>
            <w:proofErr w:type="spellStart"/>
            <w:r w:rsidRPr="00822629">
              <w:rPr>
                <w:lang w:val="lv-LV"/>
              </w:rPr>
              <w:t>Kriviņš</w:t>
            </w:r>
            <w:proofErr w:type="spellEnd"/>
            <w:r w:rsidRPr="00822629">
              <w:rPr>
                <w:lang w:val="lv-LV"/>
              </w:rPr>
              <w:t xml:space="preserve"> – Daugavpils pilsētas domes Centralizēto iepirkumu nodaļas jurists,</w:t>
            </w:r>
          </w:p>
          <w:p w:rsidR="006E3D2C" w:rsidRPr="00822629" w:rsidRDefault="006E3D2C" w:rsidP="008A492C">
            <w:pPr>
              <w:spacing w:after="80"/>
              <w:jc w:val="both"/>
              <w:rPr>
                <w:lang w:val="lv-LV"/>
              </w:rPr>
            </w:pPr>
            <w:r w:rsidRPr="00822629">
              <w:rPr>
                <w:lang w:val="lv-LV"/>
              </w:rPr>
              <w:t xml:space="preserve">Inga </w:t>
            </w:r>
            <w:proofErr w:type="spellStart"/>
            <w:r w:rsidRPr="00822629">
              <w:rPr>
                <w:lang w:val="lv-LV"/>
              </w:rPr>
              <w:t>Zarāne</w:t>
            </w:r>
            <w:proofErr w:type="spellEnd"/>
            <w:r w:rsidRPr="00822629">
              <w:rPr>
                <w:lang w:val="lv-LV"/>
              </w:rPr>
              <w:t xml:space="preserve"> – Daugavpils pilsētas domes Centralizēto iepirkumu nodaļas ekonomiste,</w:t>
            </w:r>
          </w:p>
          <w:p w:rsidR="006E3D2C" w:rsidRPr="00822629" w:rsidRDefault="006E3D2C" w:rsidP="008A492C">
            <w:pPr>
              <w:spacing w:after="80"/>
              <w:jc w:val="both"/>
              <w:rPr>
                <w:lang w:val="lv-LV"/>
              </w:rPr>
            </w:pPr>
            <w:r w:rsidRPr="00822629">
              <w:t xml:space="preserve">Ilga </w:t>
            </w:r>
            <w:proofErr w:type="spellStart"/>
            <w:r w:rsidRPr="00822629">
              <w:t>Leikuma</w:t>
            </w:r>
            <w:proofErr w:type="spellEnd"/>
            <w:r w:rsidRPr="00822629">
              <w:t xml:space="preserve"> – Daugavpils </w:t>
            </w:r>
            <w:proofErr w:type="spellStart"/>
            <w:r w:rsidRPr="00822629">
              <w:t>pilsētas</w:t>
            </w:r>
            <w:proofErr w:type="spellEnd"/>
            <w:r w:rsidRPr="00822629">
              <w:t xml:space="preserve"> domes </w:t>
            </w:r>
            <w:proofErr w:type="spellStart"/>
            <w:r w:rsidRPr="00822629">
              <w:t>Centralizēto</w:t>
            </w:r>
            <w:proofErr w:type="spellEnd"/>
            <w:r w:rsidRPr="00822629">
              <w:t xml:space="preserve"> </w:t>
            </w:r>
            <w:proofErr w:type="spellStart"/>
            <w:r w:rsidRPr="00822629">
              <w:t>iepirkumu</w:t>
            </w:r>
            <w:proofErr w:type="spellEnd"/>
            <w:r w:rsidRPr="00822629">
              <w:t xml:space="preserve"> </w:t>
            </w:r>
            <w:proofErr w:type="spellStart"/>
            <w:r w:rsidRPr="00822629">
              <w:t>nodaļas</w:t>
            </w:r>
            <w:proofErr w:type="spellEnd"/>
            <w:r w:rsidRPr="00822629">
              <w:t xml:space="preserve"> </w:t>
            </w:r>
            <w:proofErr w:type="spellStart"/>
            <w:r w:rsidRPr="00822629">
              <w:t>speciāliste</w:t>
            </w:r>
            <w:proofErr w:type="spellEnd"/>
            <w:r w:rsidRPr="00822629">
              <w:t>,</w:t>
            </w:r>
          </w:p>
          <w:p w:rsidR="006E3D2C" w:rsidRPr="00822629" w:rsidRDefault="006E3D2C" w:rsidP="006E3D2C">
            <w:pPr>
              <w:pStyle w:val="BodyTextIndent"/>
              <w:ind w:left="0" w:right="-6"/>
            </w:pPr>
            <w:r w:rsidRPr="00822629">
              <w:t xml:space="preserve">Irina </w:t>
            </w:r>
            <w:proofErr w:type="spellStart"/>
            <w:r w:rsidRPr="00822629">
              <w:t>Samule</w:t>
            </w:r>
            <w:proofErr w:type="spellEnd"/>
            <w:r w:rsidRPr="00822629">
              <w:t xml:space="preserve"> – Daugavpils </w:t>
            </w:r>
            <w:proofErr w:type="spellStart"/>
            <w:r w:rsidRPr="00822629">
              <w:t>pensionāru</w:t>
            </w:r>
            <w:proofErr w:type="spellEnd"/>
            <w:r w:rsidRPr="00822629">
              <w:t xml:space="preserve"> </w:t>
            </w:r>
            <w:proofErr w:type="spellStart"/>
            <w:r w:rsidRPr="00822629">
              <w:t>sociālas</w:t>
            </w:r>
            <w:proofErr w:type="spellEnd"/>
            <w:r w:rsidRPr="00822629">
              <w:t xml:space="preserve"> </w:t>
            </w:r>
            <w:proofErr w:type="spellStart"/>
            <w:r w:rsidRPr="00822629">
              <w:t>apkalpošanas</w:t>
            </w:r>
            <w:proofErr w:type="spellEnd"/>
            <w:r w:rsidRPr="00822629">
              <w:t xml:space="preserve"> </w:t>
            </w:r>
            <w:proofErr w:type="spellStart"/>
            <w:r w:rsidRPr="00822629">
              <w:t>teritoriālā</w:t>
            </w:r>
            <w:proofErr w:type="spellEnd"/>
            <w:r w:rsidRPr="00822629">
              <w:t xml:space="preserve"> </w:t>
            </w:r>
            <w:proofErr w:type="spellStart"/>
            <w:r w:rsidRPr="00822629">
              <w:t>centra</w:t>
            </w:r>
            <w:proofErr w:type="spellEnd"/>
            <w:r w:rsidRPr="00822629">
              <w:t xml:space="preserve"> </w:t>
            </w:r>
            <w:proofErr w:type="spellStart"/>
            <w:r w:rsidRPr="00822629">
              <w:t>saimniecības</w:t>
            </w:r>
            <w:proofErr w:type="spellEnd"/>
            <w:r w:rsidRPr="00822629">
              <w:t xml:space="preserve"> </w:t>
            </w:r>
            <w:proofErr w:type="spellStart"/>
            <w:r w:rsidRPr="00822629">
              <w:t>vadītāja</w:t>
            </w:r>
            <w:proofErr w:type="spellEnd"/>
            <w:r w:rsidRPr="00822629">
              <w:t>,</w:t>
            </w:r>
          </w:p>
          <w:p w:rsidR="006E3D2C" w:rsidRPr="00822629" w:rsidRDefault="006E3D2C" w:rsidP="006E3D2C">
            <w:pPr>
              <w:pStyle w:val="BodyTextIndent"/>
              <w:ind w:left="0" w:right="-6"/>
            </w:pPr>
            <w:r w:rsidRPr="00822629">
              <w:t xml:space="preserve">Valērijs Losevs – Daugavpils </w:t>
            </w:r>
            <w:proofErr w:type="spellStart"/>
            <w:r w:rsidRPr="00822629">
              <w:t>pilsētas</w:t>
            </w:r>
            <w:proofErr w:type="spellEnd"/>
            <w:r w:rsidRPr="00822629">
              <w:t xml:space="preserve"> </w:t>
            </w:r>
            <w:proofErr w:type="spellStart"/>
            <w:r w:rsidRPr="00822629">
              <w:t>Izglītības</w:t>
            </w:r>
            <w:proofErr w:type="spellEnd"/>
            <w:r w:rsidRPr="00822629">
              <w:t xml:space="preserve"> </w:t>
            </w:r>
            <w:proofErr w:type="spellStart"/>
            <w:r w:rsidRPr="00822629">
              <w:t>pārvaldes</w:t>
            </w:r>
            <w:proofErr w:type="spellEnd"/>
            <w:r w:rsidRPr="00822629">
              <w:t xml:space="preserve"> </w:t>
            </w:r>
            <w:proofErr w:type="spellStart"/>
            <w:r w:rsidRPr="00822629">
              <w:t>Saimnieciskā</w:t>
            </w:r>
            <w:proofErr w:type="spellEnd"/>
            <w:r w:rsidRPr="00822629">
              <w:t xml:space="preserve"> </w:t>
            </w:r>
            <w:proofErr w:type="spellStart"/>
            <w:r w:rsidRPr="00822629">
              <w:t>nodrošinājuma</w:t>
            </w:r>
            <w:proofErr w:type="spellEnd"/>
            <w:r w:rsidRPr="00822629">
              <w:t xml:space="preserve"> </w:t>
            </w:r>
            <w:proofErr w:type="spellStart"/>
            <w:r w:rsidRPr="00822629">
              <w:t>nodaļas</w:t>
            </w:r>
            <w:proofErr w:type="spellEnd"/>
            <w:r w:rsidRPr="00822629">
              <w:t xml:space="preserve"> </w:t>
            </w:r>
            <w:proofErr w:type="spellStart"/>
            <w:r w:rsidRPr="00822629">
              <w:t>vadītājs</w:t>
            </w:r>
            <w:proofErr w:type="spellEnd"/>
            <w:r w:rsidRPr="00822629">
              <w:t>.</w:t>
            </w:r>
          </w:p>
        </w:tc>
      </w:tr>
      <w:tr w:rsidR="006E3D2C" w:rsidRPr="00822629" w:rsidTr="006E3D2C">
        <w:trPr>
          <w:trHeight w:val="435"/>
        </w:trPr>
        <w:tc>
          <w:tcPr>
            <w:tcW w:w="2977" w:type="dxa"/>
          </w:tcPr>
          <w:p w:rsidR="006E3D2C" w:rsidRPr="00822629" w:rsidRDefault="006E3D2C" w:rsidP="008A492C">
            <w:pPr>
              <w:spacing w:after="80"/>
              <w:rPr>
                <w:lang w:val="lv-LV"/>
              </w:rPr>
            </w:pPr>
            <w:r w:rsidRPr="00822629">
              <w:rPr>
                <w:lang w:val="lv-LV"/>
              </w:rPr>
              <w:t>Protokolē:</w:t>
            </w:r>
          </w:p>
        </w:tc>
        <w:tc>
          <w:tcPr>
            <w:tcW w:w="6203" w:type="dxa"/>
          </w:tcPr>
          <w:p w:rsidR="006E3D2C" w:rsidRPr="00822629" w:rsidRDefault="006E3D2C" w:rsidP="008A492C">
            <w:pPr>
              <w:spacing w:after="80"/>
              <w:rPr>
                <w:lang w:val="lv-LV"/>
              </w:rPr>
            </w:pPr>
            <w:r w:rsidRPr="00822629">
              <w:rPr>
                <w:lang w:val="lv-LV"/>
              </w:rPr>
              <w:t xml:space="preserve">Komisija locekle </w:t>
            </w:r>
            <w:proofErr w:type="spellStart"/>
            <w:r w:rsidRPr="00822629">
              <w:rPr>
                <w:lang w:val="lv-LV"/>
              </w:rPr>
              <w:t>I.Leikuma</w:t>
            </w:r>
            <w:proofErr w:type="spellEnd"/>
            <w:r w:rsidRPr="00822629">
              <w:rPr>
                <w:lang w:val="lv-LV"/>
              </w:rPr>
              <w:t>.</w:t>
            </w:r>
          </w:p>
        </w:tc>
      </w:tr>
    </w:tbl>
    <w:p w:rsidR="00E86A80" w:rsidRPr="00822629" w:rsidRDefault="00E86A80" w:rsidP="00124ECA">
      <w:pPr>
        <w:pStyle w:val="StyleStyle2Justified"/>
        <w:numPr>
          <w:ilvl w:val="0"/>
          <w:numId w:val="7"/>
        </w:numPr>
        <w:spacing w:before="0"/>
        <w:ind w:left="357" w:hanging="357"/>
        <w:rPr>
          <w:szCs w:val="24"/>
        </w:rPr>
      </w:pPr>
      <w:r w:rsidRPr="00822629">
        <w:rPr>
          <w:szCs w:val="24"/>
        </w:rPr>
        <w:t xml:space="preserve">Iepirkuma komisijas izveidošanas pamatojums – </w:t>
      </w:r>
      <w:r w:rsidR="006E3D2C" w:rsidRPr="00822629">
        <w:rPr>
          <w:szCs w:val="24"/>
          <w:lang w:val="en-US"/>
        </w:rPr>
        <w:t xml:space="preserve">Daugavpils </w:t>
      </w:r>
      <w:proofErr w:type="spellStart"/>
      <w:r w:rsidR="006E3D2C" w:rsidRPr="00822629">
        <w:rPr>
          <w:szCs w:val="24"/>
          <w:lang w:val="en-US"/>
        </w:rPr>
        <w:t>pilsētas</w:t>
      </w:r>
      <w:proofErr w:type="spellEnd"/>
      <w:r w:rsidR="006E3D2C" w:rsidRPr="00822629">
        <w:rPr>
          <w:szCs w:val="24"/>
          <w:lang w:val="en-US"/>
        </w:rPr>
        <w:t xml:space="preserve"> domes </w:t>
      </w:r>
      <w:proofErr w:type="spellStart"/>
      <w:r w:rsidR="006E3D2C" w:rsidRPr="00822629">
        <w:rPr>
          <w:szCs w:val="24"/>
          <w:lang w:val="en-US"/>
        </w:rPr>
        <w:t>izpilddirektores</w:t>
      </w:r>
      <w:proofErr w:type="spellEnd"/>
      <w:r w:rsidR="006E3D2C" w:rsidRPr="00822629">
        <w:rPr>
          <w:szCs w:val="24"/>
          <w:lang w:val="en-US"/>
        </w:rPr>
        <w:t xml:space="preserve"> 2017.gada 24.maija  </w:t>
      </w:r>
      <w:proofErr w:type="spellStart"/>
      <w:r w:rsidR="006E3D2C" w:rsidRPr="00822629">
        <w:rPr>
          <w:szCs w:val="24"/>
          <w:lang w:val="en-US"/>
        </w:rPr>
        <w:t>rīkojums</w:t>
      </w:r>
      <w:proofErr w:type="spellEnd"/>
      <w:r w:rsidR="006E3D2C" w:rsidRPr="00822629">
        <w:rPr>
          <w:szCs w:val="24"/>
          <w:lang w:val="en-US"/>
        </w:rPr>
        <w:t xml:space="preserve"> Nr.208, </w:t>
      </w:r>
      <w:proofErr w:type="spellStart"/>
      <w:r w:rsidR="006E3D2C" w:rsidRPr="00822629">
        <w:rPr>
          <w:szCs w:val="24"/>
          <w:lang w:val="en-US"/>
        </w:rPr>
        <w:t>grozīts</w:t>
      </w:r>
      <w:proofErr w:type="spellEnd"/>
      <w:r w:rsidR="006E3D2C" w:rsidRPr="00822629">
        <w:rPr>
          <w:szCs w:val="24"/>
          <w:lang w:val="en-US"/>
        </w:rPr>
        <w:t xml:space="preserve"> </w:t>
      </w:r>
      <w:proofErr w:type="spellStart"/>
      <w:r w:rsidR="006E3D2C" w:rsidRPr="00822629">
        <w:rPr>
          <w:szCs w:val="24"/>
          <w:lang w:val="en-US"/>
        </w:rPr>
        <w:t>ar</w:t>
      </w:r>
      <w:proofErr w:type="spellEnd"/>
      <w:r w:rsidR="006E3D2C" w:rsidRPr="00822629">
        <w:rPr>
          <w:szCs w:val="24"/>
          <w:lang w:val="en-US"/>
        </w:rPr>
        <w:t xml:space="preserve"> Daugavpils </w:t>
      </w:r>
      <w:proofErr w:type="spellStart"/>
      <w:r w:rsidR="006E3D2C" w:rsidRPr="00822629">
        <w:rPr>
          <w:szCs w:val="24"/>
          <w:lang w:val="en-US"/>
        </w:rPr>
        <w:t>pilsētas</w:t>
      </w:r>
      <w:proofErr w:type="spellEnd"/>
      <w:r w:rsidR="006E3D2C" w:rsidRPr="00822629">
        <w:rPr>
          <w:szCs w:val="24"/>
          <w:lang w:val="en-US"/>
        </w:rPr>
        <w:t xml:space="preserve"> domes </w:t>
      </w:r>
      <w:proofErr w:type="spellStart"/>
      <w:r w:rsidR="006E3D2C" w:rsidRPr="00822629">
        <w:rPr>
          <w:szCs w:val="24"/>
          <w:lang w:val="en-US"/>
        </w:rPr>
        <w:t>izpilddirektores</w:t>
      </w:r>
      <w:proofErr w:type="spellEnd"/>
      <w:r w:rsidR="006E3D2C" w:rsidRPr="00822629">
        <w:rPr>
          <w:szCs w:val="24"/>
          <w:lang w:val="en-US"/>
        </w:rPr>
        <w:t xml:space="preserve"> 2017.gada 6.jūnija </w:t>
      </w:r>
      <w:proofErr w:type="spellStart"/>
      <w:r w:rsidR="006E3D2C" w:rsidRPr="00822629">
        <w:rPr>
          <w:szCs w:val="24"/>
          <w:lang w:val="en-US"/>
        </w:rPr>
        <w:t>rīkojumu</w:t>
      </w:r>
      <w:proofErr w:type="spellEnd"/>
      <w:r w:rsidR="006E3D2C" w:rsidRPr="00822629">
        <w:rPr>
          <w:szCs w:val="24"/>
          <w:lang w:val="en-US"/>
        </w:rPr>
        <w:t xml:space="preserve"> Nr.237</w:t>
      </w:r>
      <w:r w:rsidR="005428E5" w:rsidRPr="00822629">
        <w:rPr>
          <w:szCs w:val="24"/>
          <w:lang w:val="en-US"/>
        </w:rPr>
        <w:t>.</w:t>
      </w:r>
    </w:p>
    <w:p w:rsidR="00972CD2" w:rsidRPr="00822629" w:rsidRDefault="00CC7CF3" w:rsidP="00E86A80">
      <w:pPr>
        <w:pStyle w:val="StyleStyle2Justified"/>
        <w:numPr>
          <w:ilvl w:val="0"/>
          <w:numId w:val="7"/>
        </w:numPr>
        <w:spacing w:before="120"/>
        <w:ind w:left="357" w:hanging="357"/>
        <w:rPr>
          <w:szCs w:val="24"/>
        </w:rPr>
      </w:pPr>
      <w:r w:rsidRPr="00822629">
        <w:rPr>
          <w:szCs w:val="24"/>
          <w:lang w:eastAsia="ar-SA"/>
        </w:rPr>
        <w:t xml:space="preserve">Iepirkuma dokumentācijas sagatavotāji: </w:t>
      </w:r>
      <w:r w:rsidR="00CC0D6B" w:rsidRPr="00822629">
        <w:rPr>
          <w:szCs w:val="24"/>
          <w:lang w:eastAsia="ar-SA"/>
        </w:rPr>
        <w:t xml:space="preserve">Ilga </w:t>
      </w:r>
      <w:proofErr w:type="spellStart"/>
      <w:r w:rsidR="00CC0D6B" w:rsidRPr="00822629">
        <w:rPr>
          <w:szCs w:val="24"/>
          <w:lang w:eastAsia="ar-SA"/>
        </w:rPr>
        <w:t>Leikuma</w:t>
      </w:r>
      <w:proofErr w:type="spellEnd"/>
      <w:r w:rsidRPr="00822629">
        <w:rPr>
          <w:szCs w:val="24"/>
          <w:lang w:eastAsia="ar-SA"/>
        </w:rPr>
        <w:t xml:space="preserve">, </w:t>
      </w:r>
      <w:proofErr w:type="spellStart"/>
      <w:r w:rsidR="00124ECA" w:rsidRPr="00822629">
        <w:rPr>
          <w:szCs w:val="24"/>
          <w:lang w:eastAsia="ar-SA"/>
        </w:rPr>
        <w:t>Irina</w:t>
      </w:r>
      <w:proofErr w:type="spellEnd"/>
      <w:r w:rsidR="00124ECA" w:rsidRPr="00822629">
        <w:rPr>
          <w:szCs w:val="24"/>
          <w:lang w:eastAsia="ar-SA"/>
        </w:rPr>
        <w:t xml:space="preserve"> </w:t>
      </w:r>
      <w:proofErr w:type="spellStart"/>
      <w:r w:rsidR="00124ECA" w:rsidRPr="00822629">
        <w:rPr>
          <w:szCs w:val="24"/>
          <w:lang w:eastAsia="ar-SA"/>
        </w:rPr>
        <w:t>Samule</w:t>
      </w:r>
      <w:proofErr w:type="spellEnd"/>
      <w:r w:rsidR="00124ECA" w:rsidRPr="00822629">
        <w:rPr>
          <w:szCs w:val="24"/>
          <w:lang w:eastAsia="ar-SA"/>
        </w:rPr>
        <w:t xml:space="preserve">, Valērijs Losevs, Aivars Rimicāns, Aivars Tārauds, Žanna </w:t>
      </w:r>
      <w:proofErr w:type="spellStart"/>
      <w:r w:rsidR="00124ECA" w:rsidRPr="00822629">
        <w:rPr>
          <w:szCs w:val="24"/>
          <w:lang w:eastAsia="ar-SA"/>
        </w:rPr>
        <w:t>Romanovska</w:t>
      </w:r>
      <w:proofErr w:type="spellEnd"/>
      <w:r w:rsidRPr="00822629">
        <w:rPr>
          <w:szCs w:val="24"/>
          <w:lang w:eastAsia="ar-SA"/>
        </w:rPr>
        <w:t>.</w:t>
      </w:r>
    </w:p>
    <w:p w:rsidR="00CC7CF3" w:rsidRPr="00822629" w:rsidRDefault="00B9264C" w:rsidP="00E86A80">
      <w:pPr>
        <w:pStyle w:val="StyleStyle2Justified"/>
        <w:numPr>
          <w:ilvl w:val="0"/>
          <w:numId w:val="7"/>
        </w:numPr>
        <w:spacing w:before="120"/>
        <w:ind w:left="357" w:hanging="357"/>
        <w:rPr>
          <w:szCs w:val="24"/>
        </w:rPr>
      </w:pPr>
      <w:r w:rsidRPr="00822629">
        <w:rPr>
          <w:szCs w:val="24"/>
          <w:lang w:eastAsia="ar-SA"/>
        </w:rPr>
        <w:t>Pieaicinātie eksperti – nav</w:t>
      </w:r>
      <w:r w:rsidR="00C3385F" w:rsidRPr="00822629">
        <w:rPr>
          <w:szCs w:val="24"/>
          <w:lang w:eastAsia="ar-SA"/>
        </w:rPr>
        <w:t xml:space="preserve"> pieaicināti</w:t>
      </w:r>
      <w:r w:rsidRPr="00822629">
        <w:rPr>
          <w:szCs w:val="24"/>
          <w:lang w:eastAsia="ar-SA"/>
        </w:rPr>
        <w:t>.</w:t>
      </w:r>
    </w:p>
    <w:p w:rsidR="001B56CB" w:rsidRPr="00822629" w:rsidRDefault="00FF741E" w:rsidP="005428E5">
      <w:pPr>
        <w:pStyle w:val="StyleStyle2Justified"/>
        <w:numPr>
          <w:ilvl w:val="0"/>
          <w:numId w:val="7"/>
        </w:numPr>
        <w:spacing w:before="120"/>
        <w:ind w:left="357" w:hanging="357"/>
        <w:rPr>
          <w:szCs w:val="24"/>
        </w:rPr>
      </w:pPr>
      <w:r w:rsidRPr="00822629">
        <w:rPr>
          <w:szCs w:val="24"/>
          <w:lang w:eastAsia="ar-SA"/>
        </w:rPr>
        <w:t xml:space="preserve">Piedāvājumu iesniegšanas termiņš: </w:t>
      </w:r>
      <w:r w:rsidR="00D70B78" w:rsidRPr="00822629">
        <w:rPr>
          <w:szCs w:val="24"/>
          <w:lang w:eastAsia="ar-SA"/>
        </w:rPr>
        <w:t xml:space="preserve">līdz </w:t>
      </w:r>
      <w:r w:rsidR="00C3385F" w:rsidRPr="00822629">
        <w:rPr>
          <w:szCs w:val="24"/>
          <w:lang w:eastAsia="ar-SA"/>
        </w:rPr>
        <w:t xml:space="preserve">2017.gada </w:t>
      </w:r>
      <w:r w:rsidR="00124ECA" w:rsidRPr="00822629">
        <w:rPr>
          <w:szCs w:val="24"/>
          <w:lang w:eastAsia="ar-SA"/>
        </w:rPr>
        <w:t>19</w:t>
      </w:r>
      <w:r w:rsidR="005428E5" w:rsidRPr="00822629">
        <w:rPr>
          <w:szCs w:val="24"/>
          <w:lang w:eastAsia="ar-SA"/>
        </w:rPr>
        <w:t>.jūnija</w:t>
      </w:r>
      <w:r w:rsidR="005E3CF7" w:rsidRPr="00822629">
        <w:rPr>
          <w:szCs w:val="24"/>
          <w:lang w:eastAsia="ar-SA"/>
        </w:rPr>
        <w:t xml:space="preserve"> </w:t>
      </w:r>
      <w:proofErr w:type="spellStart"/>
      <w:r w:rsidR="005E3CF7" w:rsidRPr="00822629">
        <w:rPr>
          <w:szCs w:val="24"/>
          <w:lang w:eastAsia="ar-SA"/>
        </w:rPr>
        <w:t>plkst</w:t>
      </w:r>
      <w:proofErr w:type="spellEnd"/>
      <w:r w:rsidR="005E3CF7" w:rsidRPr="00822629">
        <w:rPr>
          <w:szCs w:val="24"/>
          <w:lang w:eastAsia="ar-SA"/>
        </w:rPr>
        <w:t>. 1</w:t>
      </w:r>
      <w:r w:rsidR="00124ECA" w:rsidRPr="00822629">
        <w:rPr>
          <w:szCs w:val="24"/>
          <w:lang w:eastAsia="ar-SA"/>
        </w:rPr>
        <w:t>1</w:t>
      </w:r>
      <w:r w:rsidR="005428E5" w:rsidRPr="00822629">
        <w:rPr>
          <w:szCs w:val="24"/>
          <w:lang w:eastAsia="ar-SA"/>
        </w:rPr>
        <w:t>:</w:t>
      </w:r>
      <w:r w:rsidR="00C3385F" w:rsidRPr="00822629">
        <w:rPr>
          <w:szCs w:val="24"/>
          <w:lang w:eastAsia="ar-SA"/>
        </w:rPr>
        <w:t>00.</w:t>
      </w:r>
    </w:p>
    <w:p w:rsidR="00A60084" w:rsidRPr="00822629" w:rsidRDefault="00A33E20" w:rsidP="00E86A80">
      <w:pPr>
        <w:pStyle w:val="StyleStyle2Justified"/>
        <w:numPr>
          <w:ilvl w:val="0"/>
          <w:numId w:val="7"/>
        </w:numPr>
        <w:spacing w:before="120"/>
        <w:ind w:left="357" w:hanging="357"/>
        <w:rPr>
          <w:szCs w:val="24"/>
        </w:rPr>
      </w:pPr>
      <w:r w:rsidRPr="00822629">
        <w:rPr>
          <w:szCs w:val="24"/>
          <w:lang w:eastAsia="ar-SA"/>
        </w:rPr>
        <w:t>Pretendentu</w:t>
      </w:r>
      <w:r w:rsidR="00A470B0" w:rsidRPr="00822629">
        <w:rPr>
          <w:szCs w:val="24"/>
          <w:lang w:eastAsia="ar-SA"/>
        </w:rPr>
        <w:t xml:space="preserve"> nosaukumi, kuri iesnieguši piedāvājumus</w:t>
      </w:r>
      <w:r w:rsidR="00417333" w:rsidRPr="00822629">
        <w:rPr>
          <w:szCs w:val="24"/>
          <w:lang w:eastAsia="ar-SA"/>
        </w:rPr>
        <w:t>,</w:t>
      </w:r>
      <w:r w:rsidR="00A470B0" w:rsidRPr="00822629">
        <w:rPr>
          <w:szCs w:val="24"/>
          <w:lang w:eastAsia="ar-SA"/>
        </w:rPr>
        <w:t xml:space="preserve"> </w:t>
      </w:r>
      <w:r w:rsidR="005428E5" w:rsidRPr="00822629">
        <w:rPr>
          <w:szCs w:val="24"/>
          <w:lang w:eastAsia="ar-SA"/>
        </w:rPr>
        <w:t>kā arī piedāvātās cenas</w:t>
      </w:r>
      <w:r w:rsidR="00A470B0" w:rsidRPr="00822629">
        <w:rPr>
          <w:szCs w:val="24"/>
          <w:lang w:eastAsia="ar-SA"/>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417"/>
        <w:gridCol w:w="1418"/>
        <w:gridCol w:w="1417"/>
        <w:gridCol w:w="1276"/>
        <w:gridCol w:w="1417"/>
        <w:gridCol w:w="1276"/>
      </w:tblGrid>
      <w:tr w:rsidR="00124ECA" w:rsidRPr="00822629" w:rsidTr="008A492C">
        <w:trPr>
          <w:cantSplit/>
          <w:trHeight w:val="361"/>
        </w:trPr>
        <w:tc>
          <w:tcPr>
            <w:tcW w:w="709" w:type="dxa"/>
            <w:vMerge w:val="restart"/>
            <w:textDirection w:val="btLr"/>
          </w:tcPr>
          <w:p w:rsidR="00124ECA" w:rsidRPr="00124ECA" w:rsidRDefault="00124ECA" w:rsidP="00124ECA">
            <w:pPr>
              <w:ind w:left="113" w:right="113"/>
              <w:jc w:val="center"/>
              <w:rPr>
                <w:rFonts w:eastAsia="Calibri"/>
                <w:lang w:val="lv-LV"/>
              </w:rPr>
            </w:pPr>
            <w:proofErr w:type="spellStart"/>
            <w:r w:rsidRPr="00124ECA">
              <w:rPr>
                <w:rFonts w:eastAsia="Calibri"/>
                <w:lang w:val="lv-LV"/>
              </w:rPr>
              <w:t>Nr.p.k</w:t>
            </w:r>
            <w:proofErr w:type="spellEnd"/>
            <w:r w:rsidRPr="00124ECA">
              <w:rPr>
                <w:rFonts w:eastAsia="Calibri"/>
                <w:lang w:val="lv-LV"/>
              </w:rPr>
              <w:t>.</w:t>
            </w:r>
          </w:p>
        </w:tc>
        <w:tc>
          <w:tcPr>
            <w:tcW w:w="1418" w:type="dxa"/>
            <w:vMerge w:val="restart"/>
            <w:shd w:val="clear" w:color="auto" w:fill="auto"/>
            <w:vAlign w:val="center"/>
          </w:tcPr>
          <w:p w:rsidR="00124ECA" w:rsidRPr="00124ECA" w:rsidRDefault="00124ECA" w:rsidP="00124ECA">
            <w:pPr>
              <w:jc w:val="center"/>
              <w:rPr>
                <w:rFonts w:eastAsia="Calibri"/>
                <w:b/>
                <w:lang w:val="lv-LV"/>
              </w:rPr>
            </w:pPr>
            <w:r w:rsidRPr="00124ECA">
              <w:rPr>
                <w:rFonts w:eastAsia="Calibri"/>
                <w:b/>
                <w:sz w:val="22"/>
                <w:lang w:val="lv-LV"/>
              </w:rPr>
              <w:t xml:space="preserve">Pretendenta nosaukums </w:t>
            </w:r>
          </w:p>
        </w:tc>
        <w:tc>
          <w:tcPr>
            <w:tcW w:w="8221" w:type="dxa"/>
            <w:gridSpan w:val="6"/>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lang w:val="lv-LV"/>
              </w:rPr>
              <w:t>Daļas nosaukums un daļā piedāvātā līgumcena bez PVN</w:t>
            </w:r>
          </w:p>
        </w:tc>
      </w:tr>
      <w:tr w:rsidR="00124ECA" w:rsidRPr="00124ECA" w:rsidTr="008A492C">
        <w:trPr>
          <w:cantSplit/>
          <w:trHeight w:val="268"/>
        </w:trPr>
        <w:tc>
          <w:tcPr>
            <w:tcW w:w="709" w:type="dxa"/>
            <w:vMerge/>
          </w:tcPr>
          <w:p w:rsidR="00124ECA" w:rsidRPr="00124ECA" w:rsidRDefault="00124ECA" w:rsidP="00124ECA">
            <w:pPr>
              <w:jc w:val="center"/>
              <w:rPr>
                <w:rFonts w:eastAsia="Calibri"/>
                <w:b/>
                <w:lang w:val="lv-LV"/>
              </w:rPr>
            </w:pPr>
          </w:p>
        </w:tc>
        <w:tc>
          <w:tcPr>
            <w:tcW w:w="1418" w:type="dxa"/>
            <w:vMerge/>
            <w:shd w:val="clear" w:color="auto" w:fill="auto"/>
            <w:vAlign w:val="center"/>
          </w:tcPr>
          <w:p w:rsidR="00124ECA" w:rsidRPr="00124ECA" w:rsidRDefault="00124ECA" w:rsidP="00124ECA">
            <w:pPr>
              <w:jc w:val="center"/>
              <w:rPr>
                <w:rFonts w:eastAsia="Calibri"/>
                <w:b/>
                <w:lang w:val="lv-LV"/>
              </w:rPr>
            </w:pPr>
          </w:p>
        </w:tc>
        <w:tc>
          <w:tcPr>
            <w:tcW w:w="1417" w:type="dxa"/>
            <w:shd w:val="clear" w:color="auto" w:fill="auto"/>
            <w:vAlign w:val="center"/>
          </w:tcPr>
          <w:p w:rsidR="00124ECA" w:rsidRPr="00124ECA" w:rsidRDefault="00124ECA" w:rsidP="00124ECA">
            <w:pPr>
              <w:jc w:val="center"/>
              <w:rPr>
                <w:rFonts w:eastAsia="Calibri"/>
                <w:b/>
                <w:lang w:val="lv-LV"/>
              </w:rPr>
            </w:pPr>
            <w:r w:rsidRPr="00124ECA">
              <w:rPr>
                <w:b/>
                <w:sz w:val="20"/>
                <w:lang w:val="en-US"/>
              </w:rPr>
              <w:t>1.DAĻA</w:t>
            </w:r>
          </w:p>
        </w:tc>
        <w:tc>
          <w:tcPr>
            <w:tcW w:w="1418" w:type="dxa"/>
            <w:shd w:val="clear" w:color="auto" w:fill="auto"/>
            <w:vAlign w:val="center"/>
          </w:tcPr>
          <w:p w:rsidR="00124ECA" w:rsidRPr="00124ECA" w:rsidRDefault="00124ECA" w:rsidP="00124ECA">
            <w:pPr>
              <w:jc w:val="center"/>
              <w:rPr>
                <w:rFonts w:eastAsia="Calibri"/>
                <w:b/>
                <w:lang w:val="lv-LV"/>
              </w:rPr>
            </w:pPr>
            <w:r w:rsidRPr="00124ECA">
              <w:rPr>
                <w:b/>
                <w:sz w:val="20"/>
                <w:lang w:val="en-US"/>
              </w:rPr>
              <w:t>2.DAĻA</w:t>
            </w:r>
          </w:p>
        </w:tc>
        <w:tc>
          <w:tcPr>
            <w:tcW w:w="1417" w:type="dxa"/>
            <w:shd w:val="clear" w:color="auto" w:fill="auto"/>
            <w:vAlign w:val="center"/>
          </w:tcPr>
          <w:p w:rsidR="00124ECA" w:rsidRPr="00124ECA" w:rsidRDefault="00124ECA" w:rsidP="00124ECA">
            <w:pPr>
              <w:jc w:val="center"/>
              <w:rPr>
                <w:rFonts w:eastAsia="Calibri"/>
                <w:b/>
                <w:lang w:val="lv-LV"/>
              </w:rPr>
            </w:pPr>
            <w:r w:rsidRPr="00124ECA">
              <w:rPr>
                <w:b/>
                <w:sz w:val="20"/>
                <w:szCs w:val="20"/>
                <w:lang w:val="lv-LV"/>
              </w:rPr>
              <w:t>3.DAĻA</w:t>
            </w:r>
          </w:p>
        </w:tc>
        <w:tc>
          <w:tcPr>
            <w:tcW w:w="1276" w:type="dxa"/>
            <w:shd w:val="clear" w:color="auto" w:fill="auto"/>
            <w:vAlign w:val="center"/>
          </w:tcPr>
          <w:p w:rsidR="00124ECA" w:rsidRPr="00124ECA" w:rsidRDefault="00124ECA" w:rsidP="00124ECA">
            <w:pPr>
              <w:jc w:val="center"/>
              <w:rPr>
                <w:rFonts w:eastAsia="Calibri"/>
                <w:b/>
                <w:lang w:val="lv-LV"/>
              </w:rPr>
            </w:pPr>
            <w:r w:rsidRPr="00124ECA">
              <w:rPr>
                <w:b/>
                <w:sz w:val="20"/>
                <w:szCs w:val="20"/>
                <w:lang w:val="lv-LV"/>
              </w:rPr>
              <w:t>4.DAĻA</w:t>
            </w:r>
          </w:p>
        </w:tc>
        <w:tc>
          <w:tcPr>
            <w:tcW w:w="1417" w:type="dxa"/>
            <w:shd w:val="clear" w:color="auto" w:fill="auto"/>
            <w:vAlign w:val="center"/>
          </w:tcPr>
          <w:p w:rsidR="00124ECA" w:rsidRPr="00124ECA" w:rsidRDefault="00124ECA" w:rsidP="00124ECA">
            <w:pPr>
              <w:jc w:val="center"/>
              <w:rPr>
                <w:rFonts w:eastAsia="Calibri"/>
                <w:b/>
                <w:lang w:val="lv-LV"/>
              </w:rPr>
            </w:pPr>
            <w:r w:rsidRPr="00124ECA">
              <w:rPr>
                <w:b/>
                <w:sz w:val="20"/>
                <w:lang w:val="en-US"/>
              </w:rPr>
              <w:t>5.DAĻA</w:t>
            </w:r>
          </w:p>
        </w:tc>
        <w:tc>
          <w:tcPr>
            <w:tcW w:w="1276" w:type="dxa"/>
            <w:shd w:val="clear" w:color="auto" w:fill="auto"/>
            <w:vAlign w:val="center"/>
          </w:tcPr>
          <w:p w:rsidR="00124ECA" w:rsidRPr="00124ECA" w:rsidRDefault="00124ECA" w:rsidP="00124ECA">
            <w:pPr>
              <w:jc w:val="center"/>
              <w:rPr>
                <w:rFonts w:eastAsia="Calibri"/>
                <w:b/>
                <w:lang w:val="lv-LV"/>
              </w:rPr>
            </w:pPr>
            <w:r w:rsidRPr="00124ECA">
              <w:rPr>
                <w:b/>
                <w:sz w:val="20"/>
                <w:szCs w:val="20"/>
                <w:lang w:val="lv-LV"/>
              </w:rPr>
              <w:t>6.DAĻA</w:t>
            </w:r>
          </w:p>
        </w:tc>
      </w:tr>
      <w:tr w:rsidR="00124ECA" w:rsidRPr="00822629" w:rsidTr="008A492C">
        <w:trPr>
          <w:cantSplit/>
          <w:trHeight w:val="2150"/>
        </w:trPr>
        <w:tc>
          <w:tcPr>
            <w:tcW w:w="709" w:type="dxa"/>
            <w:vMerge/>
          </w:tcPr>
          <w:p w:rsidR="00124ECA" w:rsidRPr="00124ECA" w:rsidRDefault="00124ECA" w:rsidP="00124ECA">
            <w:pPr>
              <w:rPr>
                <w:rFonts w:eastAsia="Calibri"/>
                <w:sz w:val="18"/>
                <w:szCs w:val="18"/>
                <w:lang w:val="lv-LV"/>
              </w:rPr>
            </w:pPr>
          </w:p>
        </w:tc>
        <w:tc>
          <w:tcPr>
            <w:tcW w:w="1418" w:type="dxa"/>
            <w:vMerge/>
            <w:shd w:val="clear" w:color="auto" w:fill="auto"/>
            <w:vAlign w:val="center"/>
          </w:tcPr>
          <w:p w:rsidR="00124ECA" w:rsidRPr="00124ECA" w:rsidRDefault="00124ECA" w:rsidP="00124ECA">
            <w:pPr>
              <w:rPr>
                <w:rFonts w:eastAsia="Calibri"/>
                <w:sz w:val="18"/>
                <w:szCs w:val="18"/>
                <w:lang w:val="lv-LV"/>
              </w:rPr>
            </w:pPr>
          </w:p>
        </w:tc>
        <w:tc>
          <w:tcPr>
            <w:tcW w:w="1417" w:type="dxa"/>
            <w:shd w:val="clear" w:color="auto" w:fill="auto"/>
            <w:vAlign w:val="center"/>
          </w:tcPr>
          <w:p w:rsidR="00124ECA" w:rsidRPr="00124ECA" w:rsidRDefault="00124ECA" w:rsidP="00124ECA">
            <w:pPr>
              <w:tabs>
                <w:tab w:val="left" w:pos="0"/>
              </w:tabs>
              <w:jc w:val="center"/>
              <w:rPr>
                <w:sz w:val="18"/>
                <w:szCs w:val="18"/>
                <w:lang w:val="lv-LV"/>
              </w:rPr>
            </w:pPr>
            <w:r w:rsidRPr="00124ECA">
              <w:rPr>
                <w:sz w:val="18"/>
                <w:szCs w:val="18"/>
                <w:lang w:val="lv-LV"/>
              </w:rPr>
              <w:t xml:space="preserve">Virtuves aprīkojuma un elektroiekārtu piegāde </w:t>
            </w:r>
            <w:r w:rsidRPr="00124ECA">
              <w:rPr>
                <w:bCs/>
                <w:sz w:val="18"/>
                <w:szCs w:val="18"/>
                <w:lang w:val="lv-LV" w:eastAsia="ar-SA"/>
              </w:rPr>
              <w:t>Daugavpils pensionāru sociālās apkalpošanas teritoriālā centra vajadzībām.</w:t>
            </w:r>
          </w:p>
        </w:tc>
        <w:tc>
          <w:tcPr>
            <w:tcW w:w="1418" w:type="dxa"/>
            <w:shd w:val="clear" w:color="auto" w:fill="auto"/>
            <w:vAlign w:val="center"/>
          </w:tcPr>
          <w:p w:rsidR="00124ECA" w:rsidRPr="00124ECA" w:rsidRDefault="00124ECA" w:rsidP="00124ECA">
            <w:pPr>
              <w:tabs>
                <w:tab w:val="left" w:pos="0"/>
              </w:tabs>
              <w:jc w:val="center"/>
              <w:rPr>
                <w:sz w:val="18"/>
                <w:szCs w:val="18"/>
                <w:lang w:val="lv-LV"/>
              </w:rPr>
            </w:pPr>
            <w:r w:rsidRPr="00124ECA">
              <w:rPr>
                <w:sz w:val="18"/>
                <w:szCs w:val="18"/>
                <w:lang w:val="lv-LV"/>
              </w:rPr>
              <w:t xml:space="preserve">Mauriņa traktora un dzīvžoga šķēru piegāde </w:t>
            </w:r>
            <w:r w:rsidRPr="00124ECA">
              <w:rPr>
                <w:bCs/>
                <w:sz w:val="18"/>
                <w:szCs w:val="18"/>
                <w:lang w:val="lv-LV" w:eastAsia="ar-SA"/>
              </w:rPr>
              <w:t>Daugavpils pensionāru sociālās apkalpošanas teritoriālā centra vajadzībām.</w:t>
            </w:r>
          </w:p>
        </w:tc>
        <w:tc>
          <w:tcPr>
            <w:tcW w:w="1417" w:type="dxa"/>
            <w:shd w:val="clear" w:color="auto" w:fill="auto"/>
            <w:vAlign w:val="center"/>
          </w:tcPr>
          <w:p w:rsidR="00124ECA" w:rsidRPr="00124ECA" w:rsidRDefault="00124ECA" w:rsidP="00124ECA">
            <w:pPr>
              <w:jc w:val="center"/>
              <w:rPr>
                <w:rFonts w:eastAsia="Calibri"/>
                <w:b/>
                <w:sz w:val="20"/>
                <w:szCs w:val="20"/>
                <w:lang w:val="lv-LV"/>
              </w:rPr>
            </w:pPr>
            <w:r w:rsidRPr="00124ECA">
              <w:rPr>
                <w:sz w:val="18"/>
                <w:szCs w:val="18"/>
                <w:lang w:val="lv-LV"/>
              </w:rPr>
              <w:t>Virtuves aprīkojuma un elektroiekārtu piegāde un uzstādīšana Daugavpils pilsētas izglītības iestāžu vajadzībām.</w:t>
            </w:r>
          </w:p>
        </w:tc>
        <w:tc>
          <w:tcPr>
            <w:tcW w:w="1276" w:type="dxa"/>
            <w:shd w:val="clear" w:color="auto" w:fill="auto"/>
            <w:vAlign w:val="center"/>
          </w:tcPr>
          <w:p w:rsidR="00124ECA" w:rsidRPr="00124ECA" w:rsidRDefault="00124ECA" w:rsidP="00124ECA">
            <w:pPr>
              <w:jc w:val="center"/>
              <w:rPr>
                <w:rFonts w:eastAsia="Calibri"/>
                <w:b/>
                <w:sz w:val="20"/>
                <w:szCs w:val="20"/>
                <w:lang w:val="lv-LV"/>
              </w:rPr>
            </w:pPr>
            <w:r w:rsidRPr="00124ECA">
              <w:rPr>
                <w:bCs/>
                <w:sz w:val="18"/>
                <w:szCs w:val="18"/>
                <w:lang w:val="lv-LV" w:eastAsia="ar-SA"/>
              </w:rPr>
              <w:t>Saimniecībā izmantojamo pamatlīdzekļu</w:t>
            </w:r>
            <w:r w:rsidRPr="00124ECA">
              <w:rPr>
                <w:b/>
                <w:bCs/>
                <w:sz w:val="18"/>
                <w:szCs w:val="18"/>
                <w:lang w:val="lv-LV" w:eastAsia="ar-SA"/>
              </w:rPr>
              <w:t xml:space="preserve"> </w:t>
            </w:r>
            <w:r w:rsidRPr="00124ECA">
              <w:rPr>
                <w:bCs/>
                <w:sz w:val="18"/>
                <w:szCs w:val="18"/>
                <w:lang w:val="lv-LV" w:eastAsia="ar-SA"/>
              </w:rPr>
              <w:t>piegāde Latgales Zoodārza vajadzībām.</w:t>
            </w:r>
          </w:p>
        </w:tc>
        <w:tc>
          <w:tcPr>
            <w:tcW w:w="1417" w:type="dxa"/>
            <w:shd w:val="clear" w:color="auto" w:fill="auto"/>
            <w:vAlign w:val="center"/>
          </w:tcPr>
          <w:p w:rsidR="00124ECA" w:rsidRPr="00124ECA" w:rsidRDefault="00124ECA" w:rsidP="00124ECA">
            <w:pPr>
              <w:tabs>
                <w:tab w:val="left" w:pos="0"/>
              </w:tabs>
              <w:jc w:val="center"/>
              <w:rPr>
                <w:sz w:val="18"/>
                <w:szCs w:val="18"/>
                <w:lang w:val="lv-LV"/>
              </w:rPr>
            </w:pPr>
            <w:r w:rsidRPr="00124ECA">
              <w:rPr>
                <w:sz w:val="18"/>
                <w:szCs w:val="18"/>
                <w:lang w:val="lv-LV"/>
              </w:rPr>
              <w:t>Elektroiekārtu piegāde Daugavpils Novadpētniecības un mākslas muzeja vajadzībām.</w:t>
            </w:r>
          </w:p>
        </w:tc>
        <w:tc>
          <w:tcPr>
            <w:tcW w:w="1276" w:type="dxa"/>
            <w:shd w:val="clear" w:color="auto" w:fill="auto"/>
            <w:vAlign w:val="center"/>
          </w:tcPr>
          <w:p w:rsidR="00124ECA" w:rsidRPr="00124ECA" w:rsidRDefault="00124ECA" w:rsidP="00124ECA">
            <w:pPr>
              <w:jc w:val="center"/>
              <w:rPr>
                <w:rFonts w:eastAsia="Calibri"/>
                <w:b/>
                <w:sz w:val="20"/>
                <w:szCs w:val="20"/>
                <w:lang w:val="lv-LV"/>
              </w:rPr>
            </w:pPr>
            <w:r w:rsidRPr="00124ECA">
              <w:rPr>
                <w:sz w:val="18"/>
                <w:szCs w:val="18"/>
                <w:lang w:val="lv-LV"/>
              </w:rPr>
              <w:t>Elektroiekārtu piegāde Baltkrievu kultūras centra vajadzībām.</w:t>
            </w:r>
          </w:p>
        </w:tc>
      </w:tr>
      <w:tr w:rsidR="00124ECA" w:rsidRPr="00124ECA" w:rsidTr="008A492C">
        <w:trPr>
          <w:trHeight w:val="551"/>
        </w:trPr>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1.</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“DAYTON”</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20350.00</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lang w:val="lv-LV"/>
              </w:rPr>
            </w:pPr>
            <w:r w:rsidRPr="00124ECA">
              <w:rPr>
                <w:rFonts w:eastAsia="Calibri"/>
                <w:b/>
                <w:sz w:val="18"/>
                <w:szCs w:val="18"/>
                <w:lang w:val="lv-LV"/>
              </w:rPr>
              <w:t>26101.00</w:t>
            </w:r>
          </w:p>
        </w:tc>
        <w:tc>
          <w:tcPr>
            <w:tcW w:w="1276" w:type="dxa"/>
            <w:shd w:val="clear" w:color="auto" w:fill="auto"/>
            <w:vAlign w:val="center"/>
          </w:tcPr>
          <w:p w:rsidR="00124ECA" w:rsidRPr="00124ECA" w:rsidRDefault="00124ECA" w:rsidP="00124ECA">
            <w:pPr>
              <w:jc w:val="center"/>
              <w:rPr>
                <w:lang w:val="lv-LV"/>
              </w:rPr>
            </w:pPr>
            <w:r w:rsidRPr="00124ECA">
              <w:rPr>
                <w:lang w:val="lv-LV"/>
              </w:rPr>
              <w:t>-</w:t>
            </w:r>
          </w:p>
        </w:tc>
        <w:tc>
          <w:tcPr>
            <w:tcW w:w="1417" w:type="dxa"/>
            <w:shd w:val="clear" w:color="auto" w:fill="auto"/>
            <w:vAlign w:val="center"/>
          </w:tcPr>
          <w:p w:rsidR="00124ECA" w:rsidRPr="00124ECA" w:rsidRDefault="00124ECA" w:rsidP="00124ECA">
            <w:pPr>
              <w:jc w:val="center"/>
              <w:rPr>
                <w:lang w:val="lv-LV"/>
              </w:rPr>
            </w:pPr>
            <w:r w:rsidRPr="00124ECA">
              <w:rPr>
                <w:lang w:val="lv-LV"/>
              </w:rPr>
              <w:t>-</w:t>
            </w:r>
          </w:p>
        </w:tc>
        <w:tc>
          <w:tcPr>
            <w:tcW w:w="1276" w:type="dxa"/>
            <w:shd w:val="clear" w:color="auto" w:fill="auto"/>
            <w:vAlign w:val="center"/>
          </w:tcPr>
          <w:p w:rsidR="00124ECA" w:rsidRPr="00124ECA" w:rsidRDefault="00124ECA" w:rsidP="00124ECA">
            <w:pPr>
              <w:jc w:val="center"/>
              <w:rPr>
                <w:lang w:val="lv-LV"/>
              </w:rPr>
            </w:pPr>
            <w:r w:rsidRPr="00124ECA">
              <w:rPr>
                <w:lang w:val="lv-LV"/>
              </w:rPr>
              <w:t>-</w:t>
            </w:r>
          </w:p>
        </w:tc>
      </w:tr>
      <w:tr w:rsidR="00124ECA" w:rsidRPr="00124ECA" w:rsidTr="008A492C">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2.</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w:t>
            </w:r>
            <w:proofErr w:type="spellStart"/>
            <w:r w:rsidRPr="00124ECA">
              <w:rPr>
                <w:sz w:val="20"/>
                <w:szCs w:val="20"/>
                <w:lang w:val="lv-LV"/>
              </w:rPr>
              <w:t>Prof</w:t>
            </w:r>
            <w:proofErr w:type="spellEnd"/>
            <w:r w:rsidRPr="00124ECA">
              <w:rPr>
                <w:sz w:val="20"/>
                <w:szCs w:val="20"/>
                <w:lang w:val="lv-LV"/>
              </w:rPr>
              <w:t xml:space="preserve"> </w:t>
            </w:r>
            <w:proofErr w:type="spellStart"/>
            <w:r w:rsidRPr="00124ECA">
              <w:rPr>
                <w:sz w:val="20"/>
                <w:szCs w:val="20"/>
                <w:lang w:val="lv-LV"/>
              </w:rPr>
              <w:t>Rostuls</w:t>
            </w:r>
            <w:proofErr w:type="spellEnd"/>
            <w:r w:rsidRPr="00124ECA">
              <w:rPr>
                <w:sz w:val="20"/>
                <w:szCs w:val="20"/>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19300.00</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22881.00</w:t>
            </w:r>
          </w:p>
        </w:tc>
        <w:tc>
          <w:tcPr>
            <w:tcW w:w="1276" w:type="dxa"/>
            <w:shd w:val="clear" w:color="auto" w:fill="auto"/>
            <w:vAlign w:val="center"/>
          </w:tcPr>
          <w:p w:rsidR="00124ECA" w:rsidRPr="00124ECA" w:rsidRDefault="00124ECA" w:rsidP="00124ECA">
            <w:pPr>
              <w:jc w:val="center"/>
              <w:rPr>
                <w:lang w:val="en-US"/>
              </w:rPr>
            </w:pPr>
            <w:r w:rsidRPr="00124ECA">
              <w:rPr>
                <w:lang w:val="en-US"/>
              </w:rPr>
              <w:t>-</w:t>
            </w:r>
          </w:p>
        </w:tc>
        <w:tc>
          <w:tcPr>
            <w:tcW w:w="1417" w:type="dxa"/>
            <w:shd w:val="clear" w:color="auto" w:fill="auto"/>
            <w:vAlign w:val="center"/>
          </w:tcPr>
          <w:p w:rsidR="00124ECA" w:rsidRPr="00124ECA" w:rsidRDefault="00124ECA" w:rsidP="00124ECA">
            <w:pPr>
              <w:jc w:val="center"/>
              <w:rPr>
                <w:lang w:val="en-US"/>
              </w:rPr>
            </w:pPr>
            <w:r w:rsidRPr="00124ECA">
              <w:rPr>
                <w:lang w:val="en-US"/>
              </w:rPr>
              <w:t>-</w:t>
            </w:r>
          </w:p>
        </w:tc>
        <w:tc>
          <w:tcPr>
            <w:tcW w:w="1276" w:type="dxa"/>
            <w:shd w:val="clear" w:color="auto" w:fill="auto"/>
            <w:vAlign w:val="center"/>
          </w:tcPr>
          <w:p w:rsidR="00124ECA" w:rsidRPr="00124ECA" w:rsidRDefault="00124ECA" w:rsidP="00124ECA">
            <w:pPr>
              <w:jc w:val="center"/>
              <w:rPr>
                <w:lang w:val="en-US"/>
              </w:rPr>
            </w:pPr>
            <w:r w:rsidRPr="00124ECA">
              <w:rPr>
                <w:lang w:val="en-US"/>
              </w:rPr>
              <w:t>-</w:t>
            </w:r>
          </w:p>
        </w:tc>
      </w:tr>
      <w:tr w:rsidR="00124ECA" w:rsidRPr="00124ECA" w:rsidTr="008A492C">
        <w:trPr>
          <w:trHeight w:val="651"/>
        </w:trPr>
        <w:tc>
          <w:tcPr>
            <w:tcW w:w="709" w:type="dxa"/>
            <w:vAlign w:val="center"/>
          </w:tcPr>
          <w:p w:rsidR="00124ECA" w:rsidRPr="00124ECA" w:rsidRDefault="00124ECA" w:rsidP="00124ECA">
            <w:pPr>
              <w:tabs>
                <w:tab w:val="left" w:pos="284"/>
              </w:tabs>
              <w:jc w:val="center"/>
              <w:rPr>
                <w:sz w:val="20"/>
                <w:szCs w:val="20"/>
                <w:lang w:val="lv-LV"/>
              </w:rPr>
            </w:pPr>
            <w:r w:rsidRPr="00124ECA">
              <w:rPr>
                <w:sz w:val="20"/>
                <w:szCs w:val="20"/>
                <w:lang w:val="lv-LV"/>
              </w:rPr>
              <w:t>3.</w:t>
            </w:r>
          </w:p>
        </w:tc>
        <w:tc>
          <w:tcPr>
            <w:tcW w:w="1418" w:type="dxa"/>
            <w:shd w:val="clear" w:color="auto" w:fill="auto"/>
            <w:vAlign w:val="center"/>
          </w:tcPr>
          <w:p w:rsidR="00124ECA" w:rsidRPr="00124ECA" w:rsidRDefault="00124ECA" w:rsidP="00124ECA">
            <w:pPr>
              <w:tabs>
                <w:tab w:val="left" w:pos="284"/>
              </w:tabs>
              <w:jc w:val="center"/>
              <w:rPr>
                <w:sz w:val="20"/>
                <w:szCs w:val="20"/>
                <w:lang w:val="lv-LV"/>
              </w:rPr>
            </w:pPr>
            <w:r w:rsidRPr="00124ECA">
              <w:rPr>
                <w:sz w:val="20"/>
                <w:szCs w:val="20"/>
                <w:lang w:val="lv-LV"/>
              </w:rPr>
              <w:t>SIA “Grandus”</w:t>
            </w:r>
          </w:p>
        </w:tc>
        <w:tc>
          <w:tcPr>
            <w:tcW w:w="1417"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27403.00</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24313.00</w:t>
            </w:r>
          </w:p>
        </w:tc>
        <w:tc>
          <w:tcPr>
            <w:tcW w:w="1276" w:type="dxa"/>
            <w:shd w:val="clear" w:color="auto" w:fill="auto"/>
            <w:vAlign w:val="center"/>
          </w:tcPr>
          <w:p w:rsidR="00124ECA" w:rsidRPr="00124ECA" w:rsidRDefault="00124ECA" w:rsidP="00124ECA">
            <w:pPr>
              <w:jc w:val="center"/>
              <w:rPr>
                <w:lang w:val="en-US"/>
              </w:rPr>
            </w:pPr>
            <w:r w:rsidRPr="00124ECA">
              <w:rPr>
                <w:lang w:val="en-US"/>
              </w:rPr>
              <w:t>-</w:t>
            </w:r>
          </w:p>
        </w:tc>
        <w:tc>
          <w:tcPr>
            <w:tcW w:w="1417" w:type="dxa"/>
            <w:shd w:val="clear" w:color="auto" w:fill="auto"/>
            <w:vAlign w:val="center"/>
          </w:tcPr>
          <w:p w:rsidR="00124ECA" w:rsidRPr="00124ECA" w:rsidRDefault="00124ECA" w:rsidP="00124ECA">
            <w:pPr>
              <w:jc w:val="center"/>
              <w:rPr>
                <w:lang w:val="en-US"/>
              </w:rPr>
            </w:pPr>
            <w:r w:rsidRPr="00124ECA">
              <w:rPr>
                <w:lang w:val="en-US"/>
              </w:rPr>
              <w:t>-</w:t>
            </w:r>
          </w:p>
        </w:tc>
        <w:tc>
          <w:tcPr>
            <w:tcW w:w="1276" w:type="dxa"/>
            <w:shd w:val="clear" w:color="auto" w:fill="auto"/>
            <w:vAlign w:val="center"/>
          </w:tcPr>
          <w:p w:rsidR="00124ECA" w:rsidRPr="00124ECA" w:rsidRDefault="00124ECA" w:rsidP="00124ECA">
            <w:pPr>
              <w:jc w:val="center"/>
              <w:rPr>
                <w:lang w:val="en-US"/>
              </w:rPr>
            </w:pPr>
            <w:r w:rsidRPr="00124ECA">
              <w:rPr>
                <w:lang w:val="en-US"/>
              </w:rPr>
              <w:t>-</w:t>
            </w:r>
          </w:p>
        </w:tc>
      </w:tr>
      <w:tr w:rsidR="00124ECA" w:rsidRPr="00124ECA" w:rsidTr="008A492C">
        <w:trPr>
          <w:trHeight w:val="397"/>
        </w:trPr>
        <w:tc>
          <w:tcPr>
            <w:tcW w:w="709" w:type="dxa"/>
            <w:vAlign w:val="center"/>
          </w:tcPr>
          <w:p w:rsidR="00124ECA" w:rsidRPr="00124ECA" w:rsidRDefault="00124ECA" w:rsidP="00124ECA">
            <w:pPr>
              <w:tabs>
                <w:tab w:val="left" w:pos="284"/>
              </w:tabs>
              <w:jc w:val="center"/>
              <w:rPr>
                <w:sz w:val="20"/>
                <w:szCs w:val="20"/>
                <w:lang w:val="lv-LV"/>
              </w:rPr>
            </w:pPr>
            <w:r w:rsidRPr="00124ECA">
              <w:rPr>
                <w:sz w:val="20"/>
                <w:szCs w:val="20"/>
                <w:lang w:val="lv-LV"/>
              </w:rPr>
              <w:t>4.</w:t>
            </w:r>
          </w:p>
        </w:tc>
        <w:tc>
          <w:tcPr>
            <w:tcW w:w="1418" w:type="dxa"/>
            <w:shd w:val="clear" w:color="auto" w:fill="auto"/>
            <w:vAlign w:val="center"/>
          </w:tcPr>
          <w:p w:rsidR="00124ECA" w:rsidRPr="00124ECA" w:rsidRDefault="00124ECA" w:rsidP="00124ECA">
            <w:pPr>
              <w:tabs>
                <w:tab w:val="left" w:pos="284"/>
              </w:tabs>
              <w:jc w:val="center"/>
              <w:rPr>
                <w:sz w:val="20"/>
                <w:szCs w:val="20"/>
                <w:lang w:val="lv-LV"/>
              </w:rPr>
            </w:pPr>
            <w:r w:rsidRPr="00124ECA">
              <w:rPr>
                <w:sz w:val="20"/>
                <w:szCs w:val="20"/>
                <w:lang w:val="lv-LV"/>
              </w:rPr>
              <w:t>SIA “VMC-G”</w:t>
            </w:r>
          </w:p>
        </w:tc>
        <w:tc>
          <w:tcPr>
            <w:tcW w:w="1417"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12400.00</w:t>
            </w:r>
          </w:p>
        </w:tc>
        <w:tc>
          <w:tcPr>
            <w:tcW w:w="1418"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lang w:val="en-US"/>
              </w:rPr>
            </w:pPr>
            <w:r w:rsidRPr="00124ECA">
              <w:rPr>
                <w:lang w:val="en-US"/>
              </w:rPr>
              <w:t>-</w:t>
            </w:r>
          </w:p>
        </w:tc>
        <w:tc>
          <w:tcPr>
            <w:tcW w:w="1417" w:type="dxa"/>
            <w:shd w:val="clear" w:color="auto" w:fill="auto"/>
            <w:vAlign w:val="center"/>
          </w:tcPr>
          <w:p w:rsidR="00124ECA" w:rsidRPr="00124ECA" w:rsidRDefault="00124ECA" w:rsidP="00124ECA">
            <w:pPr>
              <w:jc w:val="center"/>
              <w:rPr>
                <w:lang w:val="en-US"/>
              </w:rPr>
            </w:pPr>
            <w:r w:rsidRPr="00124ECA">
              <w:rPr>
                <w:lang w:val="en-US"/>
              </w:rPr>
              <w:t>-</w:t>
            </w:r>
          </w:p>
        </w:tc>
        <w:tc>
          <w:tcPr>
            <w:tcW w:w="1276" w:type="dxa"/>
            <w:shd w:val="clear" w:color="auto" w:fill="auto"/>
            <w:vAlign w:val="center"/>
          </w:tcPr>
          <w:p w:rsidR="00124ECA" w:rsidRPr="00124ECA" w:rsidRDefault="00124ECA" w:rsidP="00124ECA">
            <w:pPr>
              <w:jc w:val="center"/>
              <w:rPr>
                <w:lang w:val="en-US"/>
              </w:rPr>
            </w:pPr>
            <w:r w:rsidRPr="00124ECA">
              <w:rPr>
                <w:lang w:val="en-US"/>
              </w:rPr>
              <w:t>-</w:t>
            </w:r>
          </w:p>
        </w:tc>
      </w:tr>
      <w:tr w:rsidR="00124ECA" w:rsidRPr="00124ECA" w:rsidTr="008A492C">
        <w:trPr>
          <w:trHeight w:val="475"/>
        </w:trPr>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5.</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w:t>
            </w:r>
            <w:proofErr w:type="spellStart"/>
            <w:r w:rsidRPr="00124ECA">
              <w:rPr>
                <w:sz w:val="20"/>
                <w:szCs w:val="20"/>
                <w:lang w:val="lv-LV"/>
              </w:rPr>
              <w:t>Prolux</w:t>
            </w:r>
            <w:proofErr w:type="spellEnd"/>
            <w:r w:rsidRPr="00124ECA">
              <w:rPr>
                <w:sz w:val="20"/>
                <w:szCs w:val="20"/>
                <w:lang w:val="lv-LV"/>
              </w:rPr>
              <w:t>”</w:t>
            </w:r>
          </w:p>
        </w:tc>
        <w:tc>
          <w:tcPr>
            <w:tcW w:w="1417"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w:t>
            </w:r>
          </w:p>
        </w:tc>
        <w:tc>
          <w:tcPr>
            <w:tcW w:w="1418"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lang w:val="en-US"/>
              </w:rPr>
            </w:pPr>
            <w:r w:rsidRPr="00124ECA">
              <w:rPr>
                <w:rFonts w:eastAsia="Calibri"/>
                <w:b/>
                <w:sz w:val="18"/>
                <w:szCs w:val="18"/>
                <w:lang w:val="lv-LV"/>
              </w:rPr>
              <w:t>28014.00</w:t>
            </w:r>
          </w:p>
        </w:tc>
        <w:tc>
          <w:tcPr>
            <w:tcW w:w="1276" w:type="dxa"/>
            <w:shd w:val="clear" w:color="auto" w:fill="auto"/>
            <w:vAlign w:val="center"/>
          </w:tcPr>
          <w:p w:rsidR="00124ECA" w:rsidRPr="00124ECA" w:rsidRDefault="00124ECA" w:rsidP="00124ECA">
            <w:pPr>
              <w:jc w:val="center"/>
              <w:rPr>
                <w:lang w:val="en-US"/>
              </w:rPr>
            </w:pPr>
            <w:r w:rsidRPr="00124ECA">
              <w:rPr>
                <w:lang w:val="en-US"/>
              </w:rPr>
              <w:t>-</w:t>
            </w:r>
          </w:p>
        </w:tc>
        <w:tc>
          <w:tcPr>
            <w:tcW w:w="1417" w:type="dxa"/>
            <w:shd w:val="clear" w:color="auto" w:fill="auto"/>
            <w:vAlign w:val="center"/>
          </w:tcPr>
          <w:p w:rsidR="00124ECA" w:rsidRPr="00124ECA" w:rsidRDefault="00124ECA" w:rsidP="00124ECA">
            <w:pPr>
              <w:jc w:val="center"/>
              <w:rPr>
                <w:lang w:val="en-US"/>
              </w:rPr>
            </w:pPr>
            <w:r w:rsidRPr="00124ECA">
              <w:rPr>
                <w:lang w:val="en-US"/>
              </w:rPr>
              <w:t>-</w:t>
            </w:r>
          </w:p>
        </w:tc>
        <w:tc>
          <w:tcPr>
            <w:tcW w:w="1276" w:type="dxa"/>
            <w:shd w:val="clear" w:color="auto" w:fill="auto"/>
            <w:vAlign w:val="center"/>
          </w:tcPr>
          <w:p w:rsidR="00124ECA" w:rsidRPr="00124ECA" w:rsidRDefault="00124ECA" w:rsidP="00124ECA">
            <w:pPr>
              <w:jc w:val="center"/>
              <w:rPr>
                <w:lang w:val="en-US"/>
              </w:rPr>
            </w:pPr>
            <w:r w:rsidRPr="00124ECA">
              <w:rPr>
                <w:lang w:val="en-US"/>
              </w:rPr>
              <w:t>-</w:t>
            </w:r>
          </w:p>
        </w:tc>
      </w:tr>
      <w:tr w:rsidR="00124ECA" w:rsidRPr="00124ECA" w:rsidTr="008A492C">
        <w:trPr>
          <w:trHeight w:val="783"/>
        </w:trPr>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6.</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w:t>
            </w:r>
            <w:proofErr w:type="spellStart"/>
            <w:r w:rsidRPr="00124ECA">
              <w:rPr>
                <w:sz w:val="20"/>
                <w:szCs w:val="20"/>
                <w:lang w:val="lv-LV"/>
              </w:rPr>
              <w:t>Inkomercs</w:t>
            </w:r>
            <w:proofErr w:type="spellEnd"/>
            <w:r w:rsidRPr="00124ECA">
              <w:rPr>
                <w:sz w:val="20"/>
                <w:szCs w:val="20"/>
                <w:lang w:val="lv-LV"/>
              </w:rPr>
              <w:t xml:space="preserve"> K”</w:t>
            </w:r>
          </w:p>
        </w:tc>
        <w:tc>
          <w:tcPr>
            <w:tcW w:w="1417" w:type="dxa"/>
            <w:shd w:val="clear" w:color="auto" w:fill="auto"/>
            <w:vAlign w:val="center"/>
          </w:tcPr>
          <w:p w:rsidR="00124ECA" w:rsidRPr="00124ECA" w:rsidRDefault="00124ECA" w:rsidP="00124ECA">
            <w:pPr>
              <w:jc w:val="center"/>
              <w:rPr>
                <w:lang w:val="lv-LV"/>
              </w:rPr>
            </w:pPr>
            <w:r w:rsidRPr="00124ECA">
              <w:rPr>
                <w:rFonts w:eastAsia="Calibri"/>
                <w:b/>
                <w:sz w:val="18"/>
                <w:szCs w:val="18"/>
                <w:lang w:val="lv-LV"/>
              </w:rPr>
              <w:t>19431.19</w:t>
            </w:r>
          </w:p>
        </w:tc>
        <w:tc>
          <w:tcPr>
            <w:tcW w:w="1418" w:type="dxa"/>
            <w:shd w:val="clear" w:color="auto" w:fill="auto"/>
            <w:vAlign w:val="center"/>
          </w:tcPr>
          <w:p w:rsidR="00124ECA" w:rsidRPr="00124ECA" w:rsidRDefault="00124ECA" w:rsidP="00124ECA">
            <w:pPr>
              <w:jc w:val="center"/>
              <w:rPr>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lang w:val="lv-LV"/>
              </w:rPr>
            </w:pPr>
            <w:r w:rsidRPr="00124ECA">
              <w:rPr>
                <w:lang w:val="lv-LV"/>
              </w:rPr>
              <w:t>-</w:t>
            </w:r>
          </w:p>
        </w:tc>
        <w:tc>
          <w:tcPr>
            <w:tcW w:w="1417" w:type="dxa"/>
            <w:shd w:val="clear" w:color="auto" w:fill="auto"/>
            <w:vAlign w:val="center"/>
          </w:tcPr>
          <w:p w:rsidR="00124ECA" w:rsidRPr="00124ECA" w:rsidRDefault="00124ECA" w:rsidP="00124ECA">
            <w:pPr>
              <w:jc w:val="center"/>
              <w:rPr>
                <w:lang w:val="lv-LV"/>
              </w:rPr>
            </w:pPr>
            <w:r w:rsidRPr="00124ECA">
              <w:rPr>
                <w:lang w:val="lv-LV"/>
              </w:rPr>
              <w:t>-</w:t>
            </w:r>
          </w:p>
        </w:tc>
        <w:tc>
          <w:tcPr>
            <w:tcW w:w="1276" w:type="dxa"/>
            <w:shd w:val="clear" w:color="auto" w:fill="auto"/>
            <w:vAlign w:val="center"/>
          </w:tcPr>
          <w:p w:rsidR="00124ECA" w:rsidRPr="00124ECA" w:rsidRDefault="00124ECA" w:rsidP="00124ECA">
            <w:pPr>
              <w:jc w:val="center"/>
              <w:rPr>
                <w:lang w:val="lv-LV"/>
              </w:rPr>
            </w:pPr>
            <w:r w:rsidRPr="00124ECA">
              <w:rPr>
                <w:lang w:val="lv-LV"/>
              </w:rPr>
              <w:t>-</w:t>
            </w:r>
          </w:p>
        </w:tc>
      </w:tr>
      <w:tr w:rsidR="00124ECA" w:rsidRPr="00124ECA" w:rsidTr="008A492C">
        <w:trPr>
          <w:trHeight w:val="479"/>
        </w:trPr>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7.</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w:t>
            </w:r>
            <w:proofErr w:type="spellStart"/>
            <w:r w:rsidRPr="00124ECA">
              <w:rPr>
                <w:sz w:val="20"/>
                <w:szCs w:val="20"/>
                <w:lang w:val="lv-LV"/>
              </w:rPr>
              <w:t>Sentios</w:t>
            </w:r>
            <w:proofErr w:type="spellEnd"/>
            <w:r w:rsidRPr="00124ECA">
              <w:rPr>
                <w:sz w:val="20"/>
                <w:szCs w:val="20"/>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2104.60</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30169.41</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2093.09</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1382.12</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542.14</w:t>
            </w:r>
          </w:p>
        </w:tc>
      </w:tr>
      <w:tr w:rsidR="00124ECA" w:rsidRPr="00124ECA" w:rsidTr="008A492C">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lastRenderedPageBreak/>
              <w:t>8.</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“MTI Serviss”</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2230.00</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r>
      <w:tr w:rsidR="00124ECA" w:rsidRPr="00124ECA" w:rsidTr="008A492C">
        <w:trPr>
          <w:trHeight w:val="596"/>
        </w:trPr>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9.</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“UNIS KO”</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19998.00</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r>
      <w:tr w:rsidR="00124ECA" w:rsidRPr="00124ECA" w:rsidTr="008A492C">
        <w:trPr>
          <w:trHeight w:val="789"/>
        </w:trPr>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10.</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“VITRUM mēbeles un iekārtas”</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26329.01</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r>
      <w:tr w:rsidR="00124ECA" w:rsidRPr="00124ECA" w:rsidTr="008A492C">
        <w:trPr>
          <w:trHeight w:val="667"/>
        </w:trPr>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11.</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“Avārijas brigāde R”</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23130.20</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r>
      <w:tr w:rsidR="00124ECA" w:rsidRPr="00124ECA" w:rsidTr="008A492C">
        <w:tc>
          <w:tcPr>
            <w:tcW w:w="709" w:type="dxa"/>
            <w:vAlign w:val="center"/>
          </w:tcPr>
          <w:p w:rsidR="00124ECA" w:rsidRPr="00124ECA" w:rsidRDefault="00124ECA" w:rsidP="00124ECA">
            <w:pPr>
              <w:tabs>
                <w:tab w:val="left" w:pos="0"/>
              </w:tabs>
              <w:jc w:val="center"/>
              <w:rPr>
                <w:sz w:val="20"/>
                <w:szCs w:val="20"/>
                <w:lang w:val="lv-LV"/>
              </w:rPr>
            </w:pPr>
            <w:r w:rsidRPr="00124ECA">
              <w:rPr>
                <w:sz w:val="20"/>
                <w:szCs w:val="20"/>
                <w:lang w:val="lv-LV"/>
              </w:rPr>
              <w:t>12.</w:t>
            </w:r>
          </w:p>
        </w:tc>
        <w:tc>
          <w:tcPr>
            <w:tcW w:w="1418" w:type="dxa"/>
            <w:shd w:val="clear" w:color="auto" w:fill="auto"/>
            <w:vAlign w:val="center"/>
          </w:tcPr>
          <w:p w:rsidR="00124ECA" w:rsidRPr="00124ECA" w:rsidRDefault="00124ECA" w:rsidP="00124ECA">
            <w:pPr>
              <w:tabs>
                <w:tab w:val="left" w:pos="0"/>
              </w:tabs>
              <w:jc w:val="center"/>
              <w:rPr>
                <w:sz w:val="20"/>
                <w:szCs w:val="20"/>
                <w:lang w:val="lv-LV"/>
              </w:rPr>
            </w:pPr>
            <w:r w:rsidRPr="00124ECA">
              <w:rPr>
                <w:sz w:val="20"/>
                <w:szCs w:val="20"/>
                <w:lang w:val="lv-LV"/>
              </w:rPr>
              <w:t>SIA “ENERGOBALTIKA”</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25624.22</w:t>
            </w:r>
          </w:p>
        </w:tc>
        <w:tc>
          <w:tcPr>
            <w:tcW w:w="1418"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2920.50</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417"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c>
          <w:tcPr>
            <w:tcW w:w="1276" w:type="dxa"/>
            <w:shd w:val="clear" w:color="auto" w:fill="auto"/>
            <w:vAlign w:val="center"/>
          </w:tcPr>
          <w:p w:rsidR="00124ECA" w:rsidRPr="00124ECA" w:rsidRDefault="00124ECA" w:rsidP="00124ECA">
            <w:pPr>
              <w:jc w:val="center"/>
              <w:rPr>
                <w:rFonts w:eastAsia="Calibri"/>
                <w:b/>
                <w:sz w:val="18"/>
                <w:szCs w:val="18"/>
                <w:lang w:val="lv-LV"/>
              </w:rPr>
            </w:pPr>
            <w:r w:rsidRPr="00124ECA">
              <w:rPr>
                <w:rFonts w:eastAsia="Calibri"/>
                <w:b/>
                <w:sz w:val="18"/>
                <w:szCs w:val="18"/>
                <w:lang w:val="lv-LV"/>
              </w:rPr>
              <w:t>-</w:t>
            </w:r>
          </w:p>
        </w:tc>
      </w:tr>
    </w:tbl>
    <w:p w:rsidR="00E86A80" w:rsidRDefault="002C5C78" w:rsidP="0055141A">
      <w:pPr>
        <w:pStyle w:val="StyleStyle2Justified"/>
        <w:numPr>
          <w:ilvl w:val="0"/>
          <w:numId w:val="7"/>
        </w:numPr>
        <w:spacing w:before="120"/>
        <w:ind w:left="357" w:hanging="357"/>
        <w:rPr>
          <w:szCs w:val="24"/>
        </w:rPr>
      </w:pPr>
      <w:r w:rsidRPr="00822629">
        <w:rPr>
          <w:szCs w:val="24"/>
          <w:lang w:eastAsia="ar-SA"/>
        </w:rPr>
        <w:t xml:space="preserve">Piedāvājumi tika atvērti </w:t>
      </w:r>
      <w:r w:rsidR="00A9126C" w:rsidRPr="00822629">
        <w:rPr>
          <w:szCs w:val="24"/>
          <w:lang w:val="en-GB"/>
        </w:rPr>
        <w:t xml:space="preserve">Daugavpils </w:t>
      </w:r>
      <w:proofErr w:type="spellStart"/>
      <w:r w:rsidR="00A9126C" w:rsidRPr="00822629">
        <w:rPr>
          <w:szCs w:val="24"/>
          <w:lang w:val="en-GB"/>
        </w:rPr>
        <w:t>pilsētas</w:t>
      </w:r>
      <w:proofErr w:type="spellEnd"/>
      <w:r w:rsidR="00A9126C" w:rsidRPr="00822629">
        <w:rPr>
          <w:szCs w:val="24"/>
          <w:lang w:val="en-GB"/>
        </w:rPr>
        <w:t xml:space="preserve"> domes </w:t>
      </w:r>
      <w:proofErr w:type="spellStart"/>
      <w:r w:rsidR="00A9126C" w:rsidRPr="00822629">
        <w:rPr>
          <w:szCs w:val="24"/>
          <w:lang w:val="en-GB"/>
        </w:rPr>
        <w:t>ēkas</w:t>
      </w:r>
      <w:proofErr w:type="spellEnd"/>
      <w:r w:rsidR="00A9126C" w:rsidRPr="00822629">
        <w:rPr>
          <w:szCs w:val="24"/>
          <w:lang w:val="en-GB"/>
        </w:rPr>
        <w:t xml:space="preserve"> 3.stāvā, 306.kabinetā, </w:t>
      </w:r>
      <w:proofErr w:type="spellStart"/>
      <w:r w:rsidR="00A9126C" w:rsidRPr="00822629">
        <w:rPr>
          <w:szCs w:val="24"/>
          <w:lang w:val="en-GB"/>
        </w:rPr>
        <w:t>Kr.Valdemāra</w:t>
      </w:r>
      <w:proofErr w:type="spellEnd"/>
      <w:r w:rsidR="00A9126C" w:rsidRPr="00822629">
        <w:rPr>
          <w:szCs w:val="24"/>
          <w:lang w:val="en-GB"/>
        </w:rPr>
        <w:t xml:space="preserve"> </w:t>
      </w:r>
      <w:proofErr w:type="spellStart"/>
      <w:r w:rsidR="00A9126C" w:rsidRPr="00822629">
        <w:rPr>
          <w:szCs w:val="24"/>
          <w:lang w:val="en-GB"/>
        </w:rPr>
        <w:t>ielā</w:t>
      </w:r>
      <w:proofErr w:type="spellEnd"/>
      <w:r w:rsidR="00A9126C" w:rsidRPr="00822629">
        <w:rPr>
          <w:szCs w:val="24"/>
          <w:lang w:val="en-GB"/>
        </w:rPr>
        <w:t xml:space="preserve"> 1, </w:t>
      </w:r>
      <w:proofErr w:type="spellStart"/>
      <w:r w:rsidR="00A9126C" w:rsidRPr="00822629">
        <w:rPr>
          <w:szCs w:val="24"/>
          <w:lang w:val="en-GB"/>
        </w:rPr>
        <w:t>Daugavpilī</w:t>
      </w:r>
      <w:proofErr w:type="spellEnd"/>
      <w:r w:rsidR="00A9126C" w:rsidRPr="00822629">
        <w:rPr>
          <w:szCs w:val="24"/>
          <w:lang w:val="en-GB"/>
        </w:rPr>
        <w:t xml:space="preserve">, </w:t>
      </w:r>
      <w:proofErr w:type="spellStart"/>
      <w:r w:rsidR="00A9126C" w:rsidRPr="00822629">
        <w:rPr>
          <w:szCs w:val="24"/>
          <w:lang w:val="en-GB"/>
        </w:rPr>
        <w:t>Latvijas</w:t>
      </w:r>
      <w:proofErr w:type="spellEnd"/>
      <w:r w:rsidR="00A9126C" w:rsidRPr="00822629">
        <w:rPr>
          <w:szCs w:val="24"/>
          <w:lang w:val="en-GB"/>
        </w:rPr>
        <w:t xml:space="preserve"> </w:t>
      </w:r>
      <w:proofErr w:type="spellStart"/>
      <w:r w:rsidR="00A9126C" w:rsidRPr="00822629">
        <w:rPr>
          <w:szCs w:val="24"/>
          <w:lang w:val="en-GB"/>
        </w:rPr>
        <w:t>Republikā</w:t>
      </w:r>
      <w:proofErr w:type="spellEnd"/>
      <w:r w:rsidR="00A9126C" w:rsidRPr="00822629">
        <w:rPr>
          <w:szCs w:val="24"/>
          <w:lang w:val="en-GB"/>
        </w:rPr>
        <w:t xml:space="preserve">, </w:t>
      </w:r>
      <w:proofErr w:type="spellStart"/>
      <w:r w:rsidR="00A9126C" w:rsidRPr="00822629">
        <w:rPr>
          <w:szCs w:val="24"/>
          <w:lang w:val="en-GB"/>
        </w:rPr>
        <w:t>atklātā</w:t>
      </w:r>
      <w:proofErr w:type="spellEnd"/>
      <w:r w:rsidR="00A9126C" w:rsidRPr="00822629">
        <w:rPr>
          <w:szCs w:val="24"/>
          <w:lang w:val="en-GB"/>
        </w:rPr>
        <w:t xml:space="preserve"> </w:t>
      </w:r>
      <w:proofErr w:type="spellStart"/>
      <w:r w:rsidR="00A9126C" w:rsidRPr="00822629">
        <w:rPr>
          <w:szCs w:val="24"/>
          <w:lang w:val="en-GB"/>
        </w:rPr>
        <w:t>sēdē</w:t>
      </w:r>
      <w:proofErr w:type="spellEnd"/>
      <w:r w:rsidR="00A9126C" w:rsidRPr="00822629">
        <w:rPr>
          <w:szCs w:val="24"/>
          <w:lang w:eastAsia="ar-SA"/>
        </w:rPr>
        <w:t xml:space="preserve"> </w:t>
      </w:r>
      <w:r w:rsidR="00A9126C" w:rsidRPr="00822629">
        <w:rPr>
          <w:szCs w:val="24"/>
          <w:lang w:val="en-GB"/>
        </w:rPr>
        <w:t xml:space="preserve">2017.gada 19.jūnija plkst.11:00 </w:t>
      </w:r>
      <w:r w:rsidR="00CC3481" w:rsidRPr="00822629">
        <w:rPr>
          <w:szCs w:val="24"/>
        </w:rPr>
        <w:t>(prot.Nr.</w:t>
      </w:r>
      <w:r w:rsidR="00A9126C" w:rsidRPr="00822629">
        <w:rPr>
          <w:szCs w:val="24"/>
        </w:rPr>
        <w:t>6</w:t>
      </w:r>
      <w:r w:rsidR="00CC3481" w:rsidRPr="00822629">
        <w:rPr>
          <w:szCs w:val="24"/>
        </w:rPr>
        <w:t>).</w:t>
      </w:r>
    </w:p>
    <w:p w:rsidR="00822629" w:rsidRPr="00822629" w:rsidRDefault="00822629" w:rsidP="00822629">
      <w:pPr>
        <w:numPr>
          <w:ilvl w:val="0"/>
          <w:numId w:val="7"/>
        </w:numPr>
        <w:tabs>
          <w:tab w:val="left" w:pos="0"/>
        </w:tabs>
        <w:suppressAutoHyphens/>
        <w:spacing w:before="120" w:after="120"/>
        <w:jc w:val="both"/>
        <w:rPr>
          <w:lang w:val="lv-LV" w:eastAsia="ar-SA"/>
        </w:rPr>
      </w:pPr>
      <w:r w:rsidRPr="00822629">
        <w:rPr>
          <w:lang w:val="lv-LV" w:eastAsia="ar-SA"/>
        </w:rPr>
        <w:t>Piedāvājuma izvēles pamatojums: normatīvo aktu un atklātā konkursa nolikuma prasībām atbilstošs saimnieciski visizdevīgākais piedāvājums katrā daļā, kuru noteiks ņemot vērā tikai cenu. Par saimnieciski visizdevīgāko piedāvājumu daļā tiks atzīts piedāvājums ar viszemāko cenu.</w:t>
      </w:r>
    </w:p>
    <w:p w:rsidR="00193C25" w:rsidRPr="00822629" w:rsidRDefault="00193C25" w:rsidP="00193C25">
      <w:pPr>
        <w:pStyle w:val="ListParagraph"/>
        <w:numPr>
          <w:ilvl w:val="0"/>
          <w:numId w:val="7"/>
        </w:numPr>
        <w:jc w:val="both"/>
        <w:rPr>
          <w:lang w:val="lv-LV"/>
        </w:rPr>
      </w:pPr>
      <w:r w:rsidRPr="00822629">
        <w:rPr>
          <w:lang w:val="lv-LV"/>
        </w:rPr>
        <w:t>Komisija 2017.gada 19.jūlija sēdē (protokols Nr.7) konstatēja, ka pretendentu SIA “DAYTON”, SIA “</w:t>
      </w:r>
      <w:proofErr w:type="spellStart"/>
      <w:r w:rsidRPr="00822629">
        <w:rPr>
          <w:lang w:val="lv-LV"/>
        </w:rPr>
        <w:t>Prof</w:t>
      </w:r>
      <w:proofErr w:type="spellEnd"/>
      <w:r w:rsidRPr="00822629">
        <w:rPr>
          <w:lang w:val="lv-LV"/>
        </w:rPr>
        <w:t xml:space="preserve"> </w:t>
      </w:r>
      <w:proofErr w:type="spellStart"/>
      <w:r w:rsidRPr="00822629">
        <w:rPr>
          <w:lang w:val="lv-LV"/>
        </w:rPr>
        <w:t>Rostuls</w:t>
      </w:r>
      <w:proofErr w:type="spellEnd"/>
      <w:r w:rsidRPr="00822629">
        <w:rPr>
          <w:lang w:val="lv-LV"/>
        </w:rPr>
        <w:t>”, SIA “Grandus”, SIA “VMC-G”, SIA “</w:t>
      </w:r>
      <w:proofErr w:type="spellStart"/>
      <w:r w:rsidRPr="00822629">
        <w:rPr>
          <w:lang w:val="lv-LV"/>
        </w:rPr>
        <w:t>Prolux</w:t>
      </w:r>
      <w:proofErr w:type="spellEnd"/>
      <w:r w:rsidRPr="00822629">
        <w:rPr>
          <w:lang w:val="lv-LV"/>
        </w:rPr>
        <w:t>”, SIA “</w:t>
      </w:r>
      <w:proofErr w:type="spellStart"/>
      <w:r w:rsidRPr="00822629">
        <w:rPr>
          <w:lang w:val="lv-LV"/>
        </w:rPr>
        <w:t>Inkomercs</w:t>
      </w:r>
      <w:proofErr w:type="spellEnd"/>
      <w:r w:rsidRPr="00822629">
        <w:rPr>
          <w:lang w:val="lv-LV"/>
        </w:rPr>
        <w:t xml:space="preserve"> K”, SIA “</w:t>
      </w:r>
      <w:proofErr w:type="spellStart"/>
      <w:r w:rsidRPr="00822629">
        <w:rPr>
          <w:lang w:val="lv-LV"/>
        </w:rPr>
        <w:t>Sentios</w:t>
      </w:r>
      <w:proofErr w:type="spellEnd"/>
      <w:r w:rsidRPr="00822629">
        <w:rPr>
          <w:lang w:val="lv-LV"/>
        </w:rPr>
        <w:t>”, SIA “MTI Serviss”, SIA “UNIS Ko”, SIA “VITRUM mēbeles un iekārtas”, SIA “Avārijas brigāde R” un SIA “ENERGOBALTIKA” piedāvājumi ir noformēti atbilstoši atklātā konkursa nolikuma prasībām un pretendenti ir pilnībā apliecinājuši savu kvalifikāciju.</w:t>
      </w:r>
    </w:p>
    <w:p w:rsidR="00940429" w:rsidRPr="00822629" w:rsidRDefault="00940429" w:rsidP="00940429">
      <w:pPr>
        <w:pStyle w:val="ListParagraph"/>
        <w:numPr>
          <w:ilvl w:val="0"/>
          <w:numId w:val="7"/>
        </w:numPr>
        <w:spacing w:before="120" w:after="120"/>
        <w:contextualSpacing w:val="0"/>
        <w:jc w:val="both"/>
        <w:rPr>
          <w:bCs/>
          <w:lang w:val="lv-LV"/>
        </w:rPr>
      </w:pPr>
      <w:r w:rsidRPr="00822629">
        <w:rPr>
          <w:bCs/>
          <w:lang w:val="lv-LV" w:eastAsia="ar-SA"/>
        </w:rPr>
        <w:t xml:space="preserve">Komisija 2017.gada 25.jūlija sēdē (protokols Nr.8) lēma: </w:t>
      </w:r>
    </w:p>
    <w:p w:rsidR="00940429" w:rsidRPr="00822629" w:rsidRDefault="00940429" w:rsidP="00940429">
      <w:pPr>
        <w:pStyle w:val="ListParagraph"/>
        <w:numPr>
          <w:ilvl w:val="1"/>
          <w:numId w:val="7"/>
        </w:numPr>
        <w:spacing w:after="120"/>
        <w:contextualSpacing w:val="0"/>
        <w:jc w:val="both"/>
        <w:rPr>
          <w:lang w:val="lv-LV"/>
        </w:rPr>
      </w:pPr>
      <w:r w:rsidRPr="00822629">
        <w:rPr>
          <w:lang w:val="lv-LV"/>
        </w:rPr>
        <w:t xml:space="preserve">konkursa 1.DAĻĀ:  </w:t>
      </w:r>
    </w:p>
    <w:p w:rsidR="00940429" w:rsidRPr="00822629" w:rsidRDefault="00940429" w:rsidP="00940429">
      <w:pPr>
        <w:pStyle w:val="ListParagraph"/>
        <w:numPr>
          <w:ilvl w:val="2"/>
          <w:numId w:val="7"/>
        </w:numPr>
        <w:contextualSpacing w:val="0"/>
        <w:jc w:val="both"/>
        <w:rPr>
          <w:lang w:val="lv-LV"/>
        </w:rPr>
      </w:pPr>
      <w:r w:rsidRPr="00822629">
        <w:rPr>
          <w:lang w:val="lv-LV"/>
        </w:rPr>
        <w:t xml:space="preserve">pretendentu </w:t>
      </w:r>
      <w:r w:rsidRPr="00822629">
        <w:rPr>
          <w:bCs/>
          <w:lang w:val="lv-LV"/>
        </w:rPr>
        <w:t>SIA “DAYTON”, SIA “Grandus”, SIA “UNIS Ko”, SIA “Avārijas brigāde R” un SIA “ENERGOBALTIKA” tehniskos piedāvājumus konkursa 1.DAĻĀ atzīt par atbilstošiem tehniskās specifikācijas prasībām konkursa 1.DAĻĀ;</w:t>
      </w:r>
    </w:p>
    <w:p w:rsidR="00940429" w:rsidRPr="00822629" w:rsidRDefault="00940429" w:rsidP="00940429">
      <w:pPr>
        <w:pStyle w:val="ListParagraph"/>
        <w:numPr>
          <w:ilvl w:val="2"/>
          <w:numId w:val="7"/>
        </w:numPr>
        <w:jc w:val="both"/>
        <w:rPr>
          <w:lang w:val="lv-LV"/>
        </w:rPr>
      </w:pPr>
      <w:r w:rsidRPr="00822629">
        <w:rPr>
          <w:lang w:val="lv-LV"/>
        </w:rPr>
        <w:t xml:space="preserve">noraidīt pretendenta SIA “VMC-G” piedāvājumu kā neatbilstošu, jo pretendents </w:t>
      </w:r>
      <w:r w:rsidRPr="00822629">
        <w:rPr>
          <w:bCs/>
          <w:lang w:val="lv-LV"/>
        </w:rPr>
        <w:t>tehniskajā piedāvājumā nav iekļāvis visas konkursa 1.DAĻAS tehniskajā specifikācijā minētās pozīcijas (no 12 tehniskajā specifikācijā minētajām pozīcijām piedāvā tikai 2 - profesionālo veļas žāvētāju un gludināšanas presi);</w:t>
      </w:r>
    </w:p>
    <w:p w:rsidR="00940429" w:rsidRPr="00822629" w:rsidRDefault="00940429" w:rsidP="00940429">
      <w:pPr>
        <w:pStyle w:val="ListParagraph"/>
        <w:numPr>
          <w:ilvl w:val="2"/>
          <w:numId w:val="7"/>
        </w:numPr>
        <w:jc w:val="both"/>
        <w:rPr>
          <w:lang w:val="lv-LV"/>
        </w:rPr>
      </w:pPr>
      <w:r w:rsidRPr="00822629">
        <w:rPr>
          <w:lang w:val="lv-LV"/>
        </w:rPr>
        <w:t>noraidīt pretendenta SIA “</w:t>
      </w:r>
      <w:proofErr w:type="spellStart"/>
      <w:r w:rsidRPr="00822629">
        <w:rPr>
          <w:lang w:val="lv-LV"/>
        </w:rPr>
        <w:t>Prof</w:t>
      </w:r>
      <w:proofErr w:type="spellEnd"/>
      <w:r w:rsidRPr="00822629">
        <w:rPr>
          <w:lang w:val="lv-LV"/>
        </w:rPr>
        <w:t xml:space="preserve"> </w:t>
      </w:r>
      <w:proofErr w:type="spellStart"/>
      <w:r w:rsidRPr="00822629">
        <w:rPr>
          <w:lang w:val="lv-LV"/>
        </w:rPr>
        <w:t>Rostuls</w:t>
      </w:r>
      <w:proofErr w:type="spellEnd"/>
      <w:r w:rsidRPr="00822629">
        <w:rPr>
          <w:lang w:val="lv-LV"/>
        </w:rPr>
        <w:t>” piedāvājumu kā neatbilstošu tehniskās specifikācijas prasībām konkursa 1.DAĻĀ, jo pretendenta piedāvātās:</w:t>
      </w:r>
    </w:p>
    <w:p w:rsidR="00940429" w:rsidRPr="00822629" w:rsidRDefault="00940429" w:rsidP="00940429">
      <w:pPr>
        <w:pStyle w:val="ListParagraph"/>
        <w:numPr>
          <w:ilvl w:val="3"/>
          <w:numId w:val="7"/>
        </w:numPr>
        <w:jc w:val="both"/>
        <w:rPr>
          <w:lang w:val="lv-LV"/>
        </w:rPr>
      </w:pPr>
      <w:r w:rsidRPr="00822629">
        <w:rPr>
          <w:lang w:val="lv-LV"/>
        </w:rPr>
        <w:t xml:space="preserve">profesionālās trauku mazgājamās mašīnas durvju atvērums ir mazāks, </w:t>
      </w:r>
      <w:proofErr w:type="spellStart"/>
      <w:r w:rsidRPr="00822629">
        <w:rPr>
          <w:lang w:val="lv-LV"/>
        </w:rPr>
        <w:t>max.trauku</w:t>
      </w:r>
      <w:proofErr w:type="spellEnd"/>
      <w:r w:rsidRPr="00822629">
        <w:rPr>
          <w:lang w:val="lv-LV"/>
        </w:rPr>
        <w:t xml:space="preserve"> augstums ir mazāks, tvertnes tilpumu ir daudz lielāks, boilera tilpumu ir daudz lielāks, maksimālā jauda ir lielāka, cikla ūdens patēriņš ir lielāks, mazgāšanas cikls un iekārtas izmēri ir citādāki nekā tehniskajā specifikācijā norādīts;</w:t>
      </w:r>
    </w:p>
    <w:p w:rsidR="00940429" w:rsidRPr="00822629" w:rsidRDefault="00940429" w:rsidP="00940429">
      <w:pPr>
        <w:pStyle w:val="ListParagraph"/>
        <w:numPr>
          <w:ilvl w:val="3"/>
          <w:numId w:val="7"/>
        </w:numPr>
        <w:jc w:val="both"/>
        <w:rPr>
          <w:lang w:val="lv-LV"/>
        </w:rPr>
      </w:pPr>
      <w:r w:rsidRPr="00822629">
        <w:rPr>
          <w:lang w:val="lv-LV"/>
        </w:rPr>
        <w:t>saldēšanas lādes motora jauda ir mazāka nekā tehniskajā specifikācijā norādīts;</w:t>
      </w:r>
    </w:p>
    <w:p w:rsidR="00940429" w:rsidRPr="00822629" w:rsidRDefault="00940429" w:rsidP="00940429">
      <w:pPr>
        <w:pStyle w:val="ListParagraph"/>
        <w:numPr>
          <w:ilvl w:val="3"/>
          <w:numId w:val="7"/>
        </w:numPr>
        <w:jc w:val="both"/>
        <w:rPr>
          <w:lang w:val="lv-LV"/>
        </w:rPr>
      </w:pPr>
      <w:r w:rsidRPr="00822629">
        <w:rPr>
          <w:lang w:val="lv-LV"/>
        </w:rPr>
        <w:t>termosa ēdienam platums un augstums ir lielāks nekā tehniskajā specifikācijā norādīts;</w:t>
      </w:r>
    </w:p>
    <w:p w:rsidR="00940429" w:rsidRPr="00822629" w:rsidRDefault="00940429" w:rsidP="00940429">
      <w:pPr>
        <w:pStyle w:val="ListParagraph"/>
        <w:numPr>
          <w:ilvl w:val="3"/>
          <w:numId w:val="7"/>
        </w:numPr>
        <w:jc w:val="both"/>
        <w:rPr>
          <w:lang w:val="lv-LV"/>
        </w:rPr>
      </w:pPr>
      <w:r w:rsidRPr="00822629">
        <w:rPr>
          <w:lang w:val="lv-LV"/>
        </w:rPr>
        <w:lastRenderedPageBreak/>
        <w:t xml:space="preserve">elektriskā caurplūdes karstā ūdens sildītāja </w:t>
      </w:r>
      <w:proofErr w:type="spellStart"/>
      <w:r w:rsidRPr="00822629">
        <w:rPr>
          <w:lang w:val="lv-LV"/>
        </w:rPr>
        <w:t>gabarītizmēri</w:t>
      </w:r>
      <w:proofErr w:type="spellEnd"/>
      <w:r w:rsidRPr="00822629">
        <w:rPr>
          <w:lang w:val="lv-LV"/>
        </w:rPr>
        <w:t xml:space="preserve"> ir citādāki nekā tehniskajā specifikācijā norādīts;</w:t>
      </w:r>
    </w:p>
    <w:p w:rsidR="00940429" w:rsidRPr="00822629" w:rsidRDefault="00940429" w:rsidP="00940429">
      <w:pPr>
        <w:pStyle w:val="ListParagraph"/>
        <w:numPr>
          <w:ilvl w:val="3"/>
          <w:numId w:val="7"/>
        </w:numPr>
        <w:jc w:val="both"/>
        <w:rPr>
          <w:lang w:val="lv-LV"/>
        </w:rPr>
      </w:pPr>
      <w:r w:rsidRPr="00822629">
        <w:rPr>
          <w:lang w:val="lv-LV"/>
        </w:rPr>
        <w:t>trauku žāvēšanas plauktu izmērs ir lielāks nekā tehniskajā specifikācijā norādīts;</w:t>
      </w:r>
    </w:p>
    <w:p w:rsidR="00940429" w:rsidRPr="00822629" w:rsidRDefault="00940429" w:rsidP="00940429">
      <w:pPr>
        <w:pStyle w:val="ListParagraph"/>
        <w:numPr>
          <w:ilvl w:val="3"/>
          <w:numId w:val="7"/>
        </w:numPr>
        <w:jc w:val="both"/>
        <w:rPr>
          <w:lang w:val="lv-LV"/>
        </w:rPr>
      </w:pPr>
      <w:r w:rsidRPr="00822629">
        <w:rPr>
          <w:lang w:val="lv-LV"/>
        </w:rPr>
        <w:t>profesionālā veļas žāvētāja sildīšanas jauda ir būtiski lielāka nekā tehniskajā specifikācijā norādīts;</w:t>
      </w:r>
    </w:p>
    <w:p w:rsidR="00940429" w:rsidRPr="00822629" w:rsidRDefault="00940429" w:rsidP="00940429">
      <w:pPr>
        <w:pStyle w:val="ListParagraph"/>
        <w:numPr>
          <w:ilvl w:val="2"/>
          <w:numId w:val="7"/>
        </w:numPr>
        <w:jc w:val="both"/>
        <w:rPr>
          <w:lang w:val="lv-LV"/>
        </w:rPr>
      </w:pPr>
      <w:r w:rsidRPr="00822629">
        <w:rPr>
          <w:lang w:val="lv-LV"/>
        </w:rPr>
        <w:t>noraidīt pretendenta SIA “</w:t>
      </w:r>
      <w:proofErr w:type="spellStart"/>
      <w:r w:rsidRPr="00822629">
        <w:rPr>
          <w:lang w:val="lv-LV"/>
        </w:rPr>
        <w:t>Inkomercs</w:t>
      </w:r>
      <w:proofErr w:type="spellEnd"/>
      <w:r w:rsidRPr="00822629">
        <w:rPr>
          <w:lang w:val="lv-LV"/>
        </w:rPr>
        <w:t xml:space="preserve"> K” piedāvājumu kā neatbilstošu tehniskās specifikācijas prasībām konkursa 1.DAĻĀ, jo pretendenta piedāvātās:</w:t>
      </w:r>
    </w:p>
    <w:p w:rsidR="00940429" w:rsidRPr="00822629" w:rsidRDefault="00940429" w:rsidP="00940429">
      <w:pPr>
        <w:pStyle w:val="ListParagraph"/>
        <w:numPr>
          <w:ilvl w:val="3"/>
          <w:numId w:val="7"/>
        </w:numPr>
        <w:jc w:val="both"/>
        <w:rPr>
          <w:lang w:val="lv-LV"/>
        </w:rPr>
      </w:pPr>
      <w:r w:rsidRPr="00822629">
        <w:rPr>
          <w:lang w:val="lv-LV"/>
        </w:rPr>
        <w:t>profesionālās trauku mazgājamās mašīnas durvju atvērums ir mazāks, mazgāšanas cikls ir citādāks, cikla ūdens patēriņš ir mazāks un izmēri ir citādāki nekā tehniskajā specifikācijā norādīts;</w:t>
      </w:r>
    </w:p>
    <w:p w:rsidR="00940429" w:rsidRPr="00822629" w:rsidRDefault="00940429" w:rsidP="00940429">
      <w:pPr>
        <w:pStyle w:val="ListParagraph"/>
        <w:numPr>
          <w:ilvl w:val="3"/>
          <w:numId w:val="7"/>
        </w:numPr>
        <w:jc w:val="both"/>
        <w:rPr>
          <w:lang w:val="lv-LV"/>
        </w:rPr>
      </w:pPr>
      <w:r w:rsidRPr="00822629">
        <w:rPr>
          <w:lang w:val="lv-LV"/>
        </w:rPr>
        <w:t>elektriskā caurplūdes karstā ūdens sildītāja temperatūras regulēšanas diapazons un izmēri ir citādāki nekā tehniskajā specifikācijā norādīts</w:t>
      </w:r>
      <w:r w:rsidRPr="00822629">
        <w:rPr>
          <w:bCs/>
          <w:lang w:val="lv-LV"/>
        </w:rPr>
        <w:t>;</w:t>
      </w:r>
    </w:p>
    <w:p w:rsidR="00940429" w:rsidRPr="00822629" w:rsidRDefault="00940429" w:rsidP="00940429">
      <w:pPr>
        <w:pStyle w:val="ListParagraph"/>
        <w:numPr>
          <w:ilvl w:val="3"/>
          <w:numId w:val="7"/>
        </w:numPr>
        <w:jc w:val="both"/>
        <w:rPr>
          <w:lang w:val="lv-LV"/>
        </w:rPr>
      </w:pPr>
      <w:r w:rsidRPr="00822629">
        <w:rPr>
          <w:bCs/>
          <w:lang w:val="lv-LV"/>
        </w:rPr>
        <w:t xml:space="preserve">elektriskās gaļas maļamās mašīnas dziļums ir daudz lielāks nekā </w:t>
      </w:r>
      <w:r w:rsidRPr="00822629">
        <w:rPr>
          <w:lang w:val="lv-LV"/>
        </w:rPr>
        <w:t>tehniskajā specifikācijā norādīts;</w:t>
      </w:r>
    </w:p>
    <w:p w:rsidR="00940429" w:rsidRPr="00822629" w:rsidRDefault="00940429" w:rsidP="00940429">
      <w:pPr>
        <w:pStyle w:val="ListParagraph"/>
        <w:numPr>
          <w:ilvl w:val="1"/>
          <w:numId w:val="7"/>
        </w:numPr>
        <w:spacing w:after="120"/>
        <w:contextualSpacing w:val="0"/>
        <w:jc w:val="both"/>
        <w:rPr>
          <w:lang w:val="lv-LV"/>
        </w:rPr>
      </w:pPr>
      <w:r w:rsidRPr="00822629">
        <w:rPr>
          <w:lang w:val="lv-LV"/>
        </w:rPr>
        <w:t>konkursa 2.DAĻĀ pretendentu</w:t>
      </w:r>
      <w:r w:rsidRPr="00822629">
        <w:rPr>
          <w:bCs/>
          <w:lang w:val="lv-LV"/>
        </w:rPr>
        <w:t xml:space="preserve"> SIA “MTI Serviss, SIA “ENERGOBALTIKA” un SIA „</w:t>
      </w:r>
      <w:proofErr w:type="spellStart"/>
      <w:r w:rsidRPr="00822629">
        <w:rPr>
          <w:bCs/>
          <w:lang w:val="lv-LV"/>
        </w:rPr>
        <w:t>Sentios</w:t>
      </w:r>
      <w:proofErr w:type="spellEnd"/>
      <w:r w:rsidRPr="00822629">
        <w:rPr>
          <w:bCs/>
          <w:lang w:val="lv-LV"/>
        </w:rPr>
        <w:t>” tehniskos piedāvājumus konkursa 2.DAĻĀ atzīt par atbilstošiem tehniskās specifikācijas prasībām konkursa 2.DAĻĀ;</w:t>
      </w:r>
    </w:p>
    <w:p w:rsidR="00940429" w:rsidRPr="00822629" w:rsidRDefault="00940429" w:rsidP="00940429">
      <w:pPr>
        <w:pStyle w:val="ListParagraph"/>
        <w:numPr>
          <w:ilvl w:val="1"/>
          <w:numId w:val="7"/>
        </w:numPr>
        <w:spacing w:after="120"/>
        <w:jc w:val="both"/>
        <w:rPr>
          <w:lang w:val="lv-LV"/>
        </w:rPr>
      </w:pPr>
      <w:r w:rsidRPr="00822629">
        <w:rPr>
          <w:lang w:val="lv-LV"/>
        </w:rPr>
        <w:t>konkursa 3.DAĻĀ:</w:t>
      </w:r>
    </w:p>
    <w:p w:rsidR="00940429" w:rsidRPr="00822629" w:rsidRDefault="00940429" w:rsidP="00940429">
      <w:pPr>
        <w:pStyle w:val="ListParagraph"/>
        <w:numPr>
          <w:ilvl w:val="2"/>
          <w:numId w:val="7"/>
        </w:numPr>
        <w:spacing w:after="120"/>
        <w:jc w:val="both"/>
        <w:rPr>
          <w:lang w:val="lv-LV"/>
        </w:rPr>
      </w:pPr>
      <w:r w:rsidRPr="00822629">
        <w:rPr>
          <w:lang w:val="lv-LV"/>
        </w:rPr>
        <w:t xml:space="preserve">pretendentu </w:t>
      </w:r>
      <w:r w:rsidRPr="00822629">
        <w:rPr>
          <w:bCs/>
          <w:lang w:val="lv-LV"/>
        </w:rPr>
        <w:t>SIA “DAYTON”, SIA “</w:t>
      </w:r>
      <w:proofErr w:type="spellStart"/>
      <w:r w:rsidRPr="00822629">
        <w:rPr>
          <w:bCs/>
          <w:lang w:val="lv-LV"/>
        </w:rPr>
        <w:t>Prolux</w:t>
      </w:r>
      <w:proofErr w:type="spellEnd"/>
      <w:r w:rsidRPr="00822629">
        <w:rPr>
          <w:bCs/>
          <w:lang w:val="lv-LV"/>
        </w:rPr>
        <w:t>”, SIA “</w:t>
      </w:r>
      <w:proofErr w:type="spellStart"/>
      <w:r w:rsidRPr="00822629">
        <w:rPr>
          <w:bCs/>
          <w:lang w:val="lv-LV"/>
        </w:rPr>
        <w:t>Sentios</w:t>
      </w:r>
      <w:proofErr w:type="spellEnd"/>
      <w:r w:rsidRPr="00822629">
        <w:rPr>
          <w:bCs/>
          <w:lang w:val="lv-LV"/>
        </w:rPr>
        <w:t>”, SIA “VITRUM mēbeles un iekārtas” tehniskos piedāvājumus konkursa 3.DAĻĀ atzīt par atbilstošiem tehniskās specifikācijas prasībām konkursa 3.DAĻĀ</w:t>
      </w:r>
      <w:r w:rsidRPr="00822629">
        <w:rPr>
          <w:lang w:val="lv-LV"/>
        </w:rPr>
        <w:t>;</w:t>
      </w:r>
    </w:p>
    <w:p w:rsidR="00940429" w:rsidRPr="00822629" w:rsidRDefault="00940429" w:rsidP="00940429">
      <w:pPr>
        <w:pStyle w:val="ListParagraph"/>
        <w:numPr>
          <w:ilvl w:val="2"/>
          <w:numId w:val="7"/>
        </w:numPr>
        <w:spacing w:after="120"/>
        <w:jc w:val="both"/>
        <w:rPr>
          <w:lang w:val="lv-LV"/>
        </w:rPr>
      </w:pPr>
      <w:r w:rsidRPr="00822629">
        <w:rPr>
          <w:lang w:val="lv-LV"/>
        </w:rPr>
        <w:t>noraidīt pretendenta SIA “</w:t>
      </w:r>
      <w:proofErr w:type="spellStart"/>
      <w:r w:rsidRPr="00822629">
        <w:rPr>
          <w:lang w:val="lv-LV"/>
        </w:rPr>
        <w:t>Prof</w:t>
      </w:r>
      <w:proofErr w:type="spellEnd"/>
      <w:r w:rsidRPr="00822629">
        <w:rPr>
          <w:lang w:val="lv-LV"/>
        </w:rPr>
        <w:t xml:space="preserve"> </w:t>
      </w:r>
      <w:proofErr w:type="spellStart"/>
      <w:r w:rsidRPr="00822629">
        <w:rPr>
          <w:lang w:val="lv-LV"/>
        </w:rPr>
        <w:t>Rostuls</w:t>
      </w:r>
      <w:proofErr w:type="spellEnd"/>
      <w:r w:rsidRPr="00822629">
        <w:rPr>
          <w:lang w:val="lv-LV"/>
        </w:rPr>
        <w:t>” piedāvājumu kā neatbilstošu tehniskās specifikācijas prasībām konkursa 3.DAĻĀ, jo pretendenta piedāvātais:</w:t>
      </w:r>
    </w:p>
    <w:p w:rsidR="00940429" w:rsidRPr="00822629" w:rsidRDefault="00940429" w:rsidP="00940429">
      <w:pPr>
        <w:pStyle w:val="ListParagraph"/>
        <w:numPr>
          <w:ilvl w:val="3"/>
          <w:numId w:val="7"/>
        </w:numPr>
        <w:spacing w:after="120"/>
        <w:jc w:val="both"/>
        <w:rPr>
          <w:lang w:val="lv-LV"/>
        </w:rPr>
      </w:pPr>
      <w:r w:rsidRPr="00822629">
        <w:rPr>
          <w:lang w:val="lv-LV"/>
        </w:rPr>
        <w:t>plaukts griešanas dēļu glabāšanai ir ar būtiski mazāku nodalīju skaitu un izmēriem nekā tehniskajā specifikācijā norādīts;</w:t>
      </w:r>
    </w:p>
    <w:p w:rsidR="00940429" w:rsidRPr="00822629" w:rsidRDefault="00940429" w:rsidP="00940429">
      <w:pPr>
        <w:pStyle w:val="ListParagraph"/>
        <w:numPr>
          <w:ilvl w:val="3"/>
          <w:numId w:val="7"/>
        </w:numPr>
        <w:spacing w:after="120"/>
        <w:jc w:val="both"/>
        <w:rPr>
          <w:lang w:val="lv-LV"/>
        </w:rPr>
      </w:pPr>
      <w:r w:rsidRPr="00822629">
        <w:rPr>
          <w:lang w:val="lv-LV"/>
        </w:rPr>
        <w:t>nerūsējošā tērauda servēšanas ratu ar trīs plauktiem izmēri ir citādāki nekā tehniskajā specifikācijā norādīts;</w:t>
      </w:r>
    </w:p>
    <w:p w:rsidR="00940429" w:rsidRPr="00822629" w:rsidRDefault="00940429" w:rsidP="00940429">
      <w:pPr>
        <w:pStyle w:val="ListParagraph"/>
        <w:numPr>
          <w:ilvl w:val="3"/>
          <w:numId w:val="7"/>
        </w:numPr>
        <w:spacing w:after="120"/>
        <w:jc w:val="both"/>
        <w:rPr>
          <w:lang w:val="lv-LV"/>
        </w:rPr>
      </w:pPr>
      <w:r w:rsidRPr="00822629">
        <w:rPr>
          <w:lang w:val="lv-LV"/>
        </w:rPr>
        <w:t>elektriskās pannas ar paceļamo vāku izmēri ir mazāki nekā tehniskajā specifikācijā norādīts;</w:t>
      </w:r>
    </w:p>
    <w:p w:rsidR="00940429" w:rsidRPr="00822629" w:rsidRDefault="00940429" w:rsidP="00940429">
      <w:pPr>
        <w:pStyle w:val="ListParagraph"/>
        <w:numPr>
          <w:ilvl w:val="3"/>
          <w:numId w:val="7"/>
        </w:numPr>
        <w:spacing w:after="120"/>
        <w:jc w:val="both"/>
        <w:rPr>
          <w:lang w:val="lv-LV"/>
        </w:rPr>
      </w:pPr>
      <w:r w:rsidRPr="00822629">
        <w:rPr>
          <w:lang w:val="lv-LV"/>
        </w:rPr>
        <w:t>dārzeņu griešanas iekārtas izmēri ir citādāki nekā tehniskajā specifikācijā norādīts;</w:t>
      </w:r>
    </w:p>
    <w:p w:rsidR="00940429" w:rsidRPr="00822629" w:rsidRDefault="00940429" w:rsidP="00940429">
      <w:pPr>
        <w:pStyle w:val="ListParagraph"/>
        <w:numPr>
          <w:ilvl w:val="3"/>
          <w:numId w:val="7"/>
        </w:numPr>
        <w:spacing w:after="120"/>
        <w:jc w:val="both"/>
        <w:rPr>
          <w:lang w:val="lv-LV"/>
        </w:rPr>
      </w:pPr>
      <w:proofErr w:type="spellStart"/>
      <w:r w:rsidRPr="00822629">
        <w:rPr>
          <w:lang w:val="lv-LV"/>
        </w:rPr>
        <w:t>planetārā</w:t>
      </w:r>
      <w:proofErr w:type="spellEnd"/>
      <w:r w:rsidRPr="00822629">
        <w:rPr>
          <w:lang w:val="lv-LV"/>
        </w:rPr>
        <w:t xml:space="preserve"> miksera-putotāja ātruma diapazons un izmēri ir citādāki nekā tehniskajā specifikācijā norādīts;</w:t>
      </w:r>
    </w:p>
    <w:p w:rsidR="00940429" w:rsidRPr="00822629" w:rsidRDefault="00940429" w:rsidP="00940429">
      <w:pPr>
        <w:pStyle w:val="ListParagraph"/>
        <w:numPr>
          <w:ilvl w:val="3"/>
          <w:numId w:val="7"/>
        </w:numPr>
        <w:spacing w:after="120"/>
        <w:jc w:val="both"/>
        <w:rPr>
          <w:lang w:val="lv-LV"/>
        </w:rPr>
      </w:pPr>
      <w:proofErr w:type="spellStart"/>
      <w:r w:rsidRPr="00822629">
        <w:rPr>
          <w:lang w:val="lv-LV"/>
        </w:rPr>
        <w:t>planetārā</w:t>
      </w:r>
      <w:proofErr w:type="spellEnd"/>
      <w:r w:rsidRPr="00822629">
        <w:rPr>
          <w:lang w:val="lv-LV"/>
        </w:rPr>
        <w:t xml:space="preserve"> miksera-putotāja izmērs ir lielāks nekā tehniskajā specifikācijā norādīts;</w:t>
      </w:r>
    </w:p>
    <w:p w:rsidR="00940429" w:rsidRPr="00822629" w:rsidRDefault="00940429" w:rsidP="00940429">
      <w:pPr>
        <w:pStyle w:val="ListParagraph"/>
        <w:numPr>
          <w:ilvl w:val="3"/>
          <w:numId w:val="7"/>
        </w:numPr>
        <w:spacing w:after="120"/>
        <w:jc w:val="both"/>
        <w:rPr>
          <w:lang w:val="lv-LV"/>
        </w:rPr>
      </w:pPr>
      <w:r w:rsidRPr="00822629">
        <w:rPr>
          <w:lang w:val="lv-LV"/>
        </w:rPr>
        <w:t>konvencijas krāsns konvencijas režīms ir mazāks un izmēri ir mazāki nekā tehniskajā specifikācijā norādīts;</w:t>
      </w:r>
    </w:p>
    <w:p w:rsidR="00940429" w:rsidRPr="00822629" w:rsidRDefault="00940429" w:rsidP="00940429">
      <w:pPr>
        <w:pStyle w:val="ListParagraph"/>
        <w:numPr>
          <w:ilvl w:val="3"/>
          <w:numId w:val="7"/>
        </w:numPr>
        <w:spacing w:after="120"/>
        <w:jc w:val="both"/>
        <w:rPr>
          <w:lang w:val="lv-LV"/>
        </w:rPr>
      </w:pPr>
      <w:r w:rsidRPr="00822629">
        <w:rPr>
          <w:lang w:val="lv-LV"/>
        </w:rPr>
        <w:t>nerūsējošā tērauda galda ar divām izlietnēm kreisajā pusē ar plauktu un aizmugurējo apmali piedāvātais modelis neatbilst tehniskajam aprakstam;</w:t>
      </w:r>
    </w:p>
    <w:p w:rsidR="00940429" w:rsidRPr="00822629" w:rsidRDefault="00940429" w:rsidP="00940429">
      <w:pPr>
        <w:pStyle w:val="ListParagraph"/>
        <w:numPr>
          <w:ilvl w:val="1"/>
          <w:numId w:val="7"/>
        </w:numPr>
        <w:spacing w:after="120"/>
        <w:contextualSpacing w:val="0"/>
        <w:jc w:val="both"/>
        <w:rPr>
          <w:lang w:val="lv-LV"/>
        </w:rPr>
      </w:pPr>
      <w:r w:rsidRPr="00822629">
        <w:rPr>
          <w:lang w:val="lv-LV"/>
        </w:rPr>
        <w:t>konkursa 4.DAĻĀ pretendenta</w:t>
      </w:r>
      <w:r w:rsidRPr="00822629">
        <w:rPr>
          <w:bCs/>
          <w:lang w:val="lv-LV"/>
        </w:rPr>
        <w:t xml:space="preserve"> SIA „</w:t>
      </w:r>
      <w:proofErr w:type="spellStart"/>
      <w:r w:rsidRPr="00822629">
        <w:rPr>
          <w:bCs/>
          <w:lang w:val="lv-LV"/>
        </w:rPr>
        <w:t>Sentios</w:t>
      </w:r>
      <w:proofErr w:type="spellEnd"/>
      <w:r w:rsidRPr="00822629">
        <w:rPr>
          <w:bCs/>
          <w:lang w:val="lv-LV"/>
        </w:rPr>
        <w:t>” tehnisko piedāvājums konkursa 4.DAĻĀ atzīt par atbilstošu tehniskās specifikācijas prasībām konkursa 4.DAĻĀ;</w:t>
      </w:r>
    </w:p>
    <w:p w:rsidR="00940429" w:rsidRPr="00822629" w:rsidRDefault="00940429" w:rsidP="00940429">
      <w:pPr>
        <w:pStyle w:val="ListParagraph"/>
        <w:numPr>
          <w:ilvl w:val="1"/>
          <w:numId w:val="7"/>
        </w:numPr>
        <w:spacing w:after="120"/>
        <w:contextualSpacing w:val="0"/>
        <w:jc w:val="both"/>
        <w:rPr>
          <w:lang w:val="lv-LV"/>
        </w:rPr>
      </w:pPr>
      <w:r w:rsidRPr="00822629">
        <w:rPr>
          <w:lang w:val="lv-LV"/>
        </w:rPr>
        <w:t>konkursa 5.DAĻĀ pretendenta</w:t>
      </w:r>
      <w:r w:rsidRPr="00822629">
        <w:rPr>
          <w:bCs/>
          <w:lang w:val="lv-LV"/>
        </w:rPr>
        <w:t xml:space="preserve"> SIA „</w:t>
      </w:r>
      <w:proofErr w:type="spellStart"/>
      <w:r w:rsidRPr="00822629">
        <w:rPr>
          <w:bCs/>
          <w:lang w:val="lv-LV"/>
        </w:rPr>
        <w:t>Sentios</w:t>
      </w:r>
      <w:proofErr w:type="spellEnd"/>
      <w:r w:rsidRPr="00822629">
        <w:rPr>
          <w:bCs/>
          <w:lang w:val="lv-LV"/>
        </w:rPr>
        <w:t>” tehnisko piedāvājumu konkursa 5.DAĻĀ atzīt par atbilstošu tehniskās specifikācijas prasībām konkursa 5.DAĻĀ;</w:t>
      </w:r>
    </w:p>
    <w:p w:rsidR="00940429" w:rsidRPr="00822629" w:rsidRDefault="00940429" w:rsidP="00940429">
      <w:pPr>
        <w:pStyle w:val="ListParagraph"/>
        <w:numPr>
          <w:ilvl w:val="1"/>
          <w:numId w:val="7"/>
        </w:numPr>
        <w:spacing w:before="120" w:after="120"/>
        <w:contextualSpacing w:val="0"/>
        <w:jc w:val="both"/>
        <w:rPr>
          <w:bCs/>
          <w:lang w:val="lv-LV"/>
        </w:rPr>
      </w:pPr>
      <w:r w:rsidRPr="00822629">
        <w:rPr>
          <w:lang w:val="lv-LV"/>
        </w:rPr>
        <w:t>konkursa 6.DAĻĀ pretendenta</w:t>
      </w:r>
      <w:r w:rsidRPr="00822629">
        <w:rPr>
          <w:bCs/>
          <w:lang w:val="lv-LV"/>
        </w:rPr>
        <w:t xml:space="preserve"> SIA „</w:t>
      </w:r>
      <w:proofErr w:type="spellStart"/>
      <w:r w:rsidRPr="00822629">
        <w:rPr>
          <w:bCs/>
          <w:lang w:val="lv-LV"/>
        </w:rPr>
        <w:t>Sentios</w:t>
      </w:r>
      <w:proofErr w:type="spellEnd"/>
      <w:r w:rsidRPr="00822629">
        <w:rPr>
          <w:bCs/>
          <w:lang w:val="lv-LV"/>
        </w:rPr>
        <w:t>” tehnisko piedāvājumu konkursa 6.DAĻĀ atzīt par atbilstošu tehniskās specifikācijas prasībām konkursa 6.DAĻĀ.</w:t>
      </w:r>
    </w:p>
    <w:p w:rsidR="00940429" w:rsidRPr="00822629" w:rsidRDefault="00940429" w:rsidP="00940429">
      <w:pPr>
        <w:pStyle w:val="ListParagraph"/>
        <w:numPr>
          <w:ilvl w:val="0"/>
          <w:numId w:val="7"/>
        </w:numPr>
        <w:spacing w:after="120"/>
        <w:contextualSpacing w:val="0"/>
        <w:jc w:val="both"/>
        <w:rPr>
          <w:lang w:val="lv-LV"/>
        </w:rPr>
      </w:pPr>
      <w:r w:rsidRPr="00822629">
        <w:rPr>
          <w:lang w:val="lv-LV"/>
        </w:rPr>
        <w:lastRenderedPageBreak/>
        <w:t xml:space="preserve">Komisija lēmumu pamatoja ar: </w:t>
      </w:r>
    </w:p>
    <w:p w:rsidR="00940429" w:rsidRPr="00822629" w:rsidRDefault="00940429" w:rsidP="00940429">
      <w:pPr>
        <w:pStyle w:val="ListParagraph"/>
        <w:numPr>
          <w:ilvl w:val="1"/>
          <w:numId w:val="7"/>
        </w:numPr>
        <w:spacing w:after="120"/>
        <w:contextualSpacing w:val="0"/>
        <w:jc w:val="both"/>
        <w:rPr>
          <w:lang w:val="lv-LV"/>
        </w:rPr>
      </w:pPr>
      <w:r w:rsidRPr="00822629">
        <w:rPr>
          <w:lang w:val="lv-LV"/>
        </w:rPr>
        <w:t>Atklātā konkursa nolikuma 37.5.apakšpunktā noteikto, ka piedāvājumā bija jāiekļauj parakstīts tehniskais piedāvājums saskaņā ar konkursa nolikuma 3.pielikumu katrā konkursa daļā atsevišķi, tehniskajā piedāvājumā bija jāiekļauj visa konkursa nolikuma 2.pielikuma attiecīgajā daļā prasītā informācija. Pretendentam, iepazīstoties ar konkursa nolikumu un attiecīgās konkursa daļas tehniskās specifikācijas prasībām, bija jāpiedāvā attiecīgā laika periodā piegādāt attiecīgās konkursa daļas tehniskajai specifikācijai atbilstošas preces, norādot to cenu (</w:t>
      </w:r>
      <w:r w:rsidRPr="00822629">
        <w:rPr>
          <w:bCs/>
          <w:lang w:val="lv-LV"/>
        </w:rPr>
        <w:t>EUR bez PVN</w:t>
      </w:r>
      <w:r w:rsidRPr="00822629">
        <w:rPr>
          <w:lang w:val="lv-LV"/>
        </w:rPr>
        <w:t xml:space="preserve">). </w:t>
      </w:r>
    </w:p>
    <w:p w:rsidR="00822629" w:rsidRDefault="00940429" w:rsidP="00940429">
      <w:pPr>
        <w:pStyle w:val="ListParagraph"/>
        <w:numPr>
          <w:ilvl w:val="1"/>
          <w:numId w:val="7"/>
        </w:numPr>
        <w:spacing w:after="120"/>
        <w:contextualSpacing w:val="0"/>
        <w:jc w:val="both"/>
        <w:rPr>
          <w:lang w:val="lv-LV"/>
        </w:rPr>
      </w:pPr>
      <w:r w:rsidRPr="00822629">
        <w:rPr>
          <w:lang w:val="lv-LV"/>
        </w:rPr>
        <w:t xml:space="preserve">Komisijas locekles </w:t>
      </w:r>
      <w:proofErr w:type="spellStart"/>
      <w:r w:rsidRPr="00822629">
        <w:rPr>
          <w:lang w:val="lv-LV"/>
        </w:rPr>
        <w:t>I.Samules</w:t>
      </w:r>
      <w:proofErr w:type="spellEnd"/>
      <w:r w:rsidRPr="00822629">
        <w:rPr>
          <w:lang w:val="lv-LV"/>
        </w:rPr>
        <w:t xml:space="preserve"> ziņoto, ka </w:t>
      </w:r>
      <w:r w:rsidRPr="00822629">
        <w:rPr>
          <w:bCs/>
          <w:lang w:val="lv-LV"/>
        </w:rPr>
        <w:t xml:space="preserve">Daugavpils pensionāru sociālās apkalpošanas teritoriālā centra elektrotīkli nav paredzēti profesionālā veļas žāvētāja pieslēgšanai ar lielāku jaudu nekā 18kW un </w:t>
      </w:r>
      <w:r w:rsidRPr="00822629">
        <w:rPr>
          <w:lang w:val="lv-LV"/>
        </w:rPr>
        <w:t>ka</w:t>
      </w:r>
      <w:r w:rsidRPr="00822629">
        <w:rPr>
          <w:bCs/>
          <w:lang w:val="lv-LV"/>
        </w:rPr>
        <w:t xml:space="preserve"> elektriskās gaļas maļamās mašīnas izvietošanas vieta ir ierobežota, tādēļ </w:t>
      </w:r>
      <w:r w:rsidRPr="00822629">
        <w:rPr>
          <w:lang w:val="lv-LV"/>
        </w:rPr>
        <w:t xml:space="preserve">elektriskajai gaļas maļamajai mašīnai jāatbilst tehniskajā specifikācijā noteiktajiem </w:t>
      </w:r>
      <w:proofErr w:type="spellStart"/>
      <w:r w:rsidRPr="00822629">
        <w:rPr>
          <w:lang w:val="lv-LV"/>
        </w:rPr>
        <w:t>gabarītizmēriem</w:t>
      </w:r>
      <w:proofErr w:type="spellEnd"/>
      <w:r w:rsidRPr="00822629">
        <w:rPr>
          <w:lang w:val="lv-LV"/>
        </w:rPr>
        <w:t xml:space="preserve">, it īpaši iekārtas dziļumam. </w:t>
      </w:r>
    </w:p>
    <w:p w:rsidR="00940429" w:rsidRPr="00822629" w:rsidRDefault="00940429" w:rsidP="00940429">
      <w:pPr>
        <w:pStyle w:val="ListParagraph"/>
        <w:numPr>
          <w:ilvl w:val="1"/>
          <w:numId w:val="7"/>
        </w:numPr>
        <w:spacing w:after="120"/>
        <w:contextualSpacing w:val="0"/>
        <w:jc w:val="both"/>
        <w:rPr>
          <w:lang w:val="lv-LV"/>
        </w:rPr>
      </w:pPr>
      <w:r w:rsidRPr="00822629">
        <w:rPr>
          <w:lang w:val="lv-LV"/>
        </w:rPr>
        <w:t>Publisko iepirkumu likuma 2.panta 2.punkts nosaka, ka šā likuma mērķis ir nodrošināt piegādātāju brīvu konkurenci, kā arī vienlīdzīgu un taisnīgu attieksmi pret tiem. Latvijas Republikas Augstākās tiesas Senāta Administratīvo lietu departamenta 2010.gada 5.novembra sprieduma lietā Nr.A42304206, SKA – 451/2010, tēze noteic, ka iepirkuma komisijai secinot, ka pretendenta tehniskais piedāvājums neatbilst nolikumā norādīto tehnisko specifikāciju prasībām, piedāvājums ir noraidāms, nav tālāk izskatāms un ar šādu pretendentu nevar slēgt iepirkuma līgumu.</w:t>
      </w:r>
      <w:r w:rsidRPr="00822629">
        <w:rPr>
          <w:rFonts w:eastAsia="Calibri"/>
          <w:lang w:val="lv-LV"/>
        </w:rPr>
        <w:t xml:space="preserve"> </w:t>
      </w:r>
    </w:p>
    <w:p w:rsidR="00940429" w:rsidRPr="00822629" w:rsidRDefault="00940429" w:rsidP="00940429">
      <w:pPr>
        <w:pStyle w:val="ListParagraph"/>
        <w:numPr>
          <w:ilvl w:val="1"/>
          <w:numId w:val="7"/>
        </w:numPr>
        <w:spacing w:after="120"/>
        <w:contextualSpacing w:val="0"/>
        <w:jc w:val="both"/>
        <w:rPr>
          <w:lang w:val="lv-LV"/>
        </w:rPr>
      </w:pPr>
      <w:r w:rsidRPr="00822629">
        <w:rPr>
          <w:lang w:val="lv-LV"/>
        </w:rPr>
        <w:t>Vispārīgi piedāvājuma neatbilstība neatkarīgi no tās būtiskuma ir pamats piedāvājuma tālākai nevērtēšanai. Turpinot vērtēt piedāvājumu, kurā pieļautā atšķirība no pasūtītāja prasībām ir šķietami neliela, tiek pārkāpts vienlīdzības un taisnīgas attieksmes princips. Ja arī citi pretendenti būtu zinājuši, ka var tikt piedāvātas no tehniskās specifikācijas nedaudz atšķirīgas preces (proti, ja šāda iespēja būtu paredzēta iepirkuma procedūras dokumentācijā), to piedāvājums, iespējams, būtu citādāks un tas savukārt varētu ietekmēt iepirkuma procedūras rezultātu (Latvijas Republikas Augstākās tiesas tiesu prakses apkopojums publisko iepirkumu lietās 2004 - 2015, 32.lpp.).</w:t>
      </w:r>
    </w:p>
    <w:p w:rsidR="00940429" w:rsidRPr="00822629" w:rsidRDefault="00940429" w:rsidP="00940429">
      <w:pPr>
        <w:pStyle w:val="ListParagraph"/>
        <w:numPr>
          <w:ilvl w:val="0"/>
          <w:numId w:val="7"/>
        </w:numPr>
        <w:spacing w:after="120"/>
        <w:contextualSpacing w:val="0"/>
        <w:jc w:val="both"/>
        <w:rPr>
          <w:bCs/>
          <w:lang w:val="lv-LV" w:eastAsia="ar-SA"/>
        </w:rPr>
      </w:pPr>
      <w:r w:rsidRPr="00822629">
        <w:rPr>
          <w:bCs/>
          <w:lang w:val="lv-LV" w:eastAsia="ar-SA"/>
        </w:rPr>
        <w:t>Komisija 2017.gada 25.jūlija sēdē (protokols Nr.8) konstatēja, ka pretendents SIA „Grandus” ir pieļāvis aritmētisku kļūdu konkursa finanšu piedāvājuma 1.DAĻĀ. Komisija nolēma izlabot pretendenta SIA „Grandus” aritmētisko kļūdu konkursa finanšu piedāvājuma 1.DAĻĀ, aizstājot pretendenta SIA „Grandus” piedāvāto līgumcenu bez PVN „EUR 27403,00” ar „EUR 23533,00”.</w:t>
      </w:r>
    </w:p>
    <w:p w:rsidR="00B36760" w:rsidRPr="00822629" w:rsidRDefault="00B36760" w:rsidP="00B36760">
      <w:pPr>
        <w:pStyle w:val="ListParagraph"/>
        <w:numPr>
          <w:ilvl w:val="0"/>
          <w:numId w:val="7"/>
        </w:numPr>
        <w:spacing w:after="120"/>
        <w:jc w:val="both"/>
        <w:rPr>
          <w:bCs/>
          <w:lang w:val="lv-LV" w:eastAsia="ar-SA"/>
        </w:rPr>
      </w:pPr>
      <w:r w:rsidRPr="00822629">
        <w:rPr>
          <w:bCs/>
          <w:lang w:val="lv-LV" w:eastAsia="ar-SA"/>
        </w:rPr>
        <w:t>Komisija 2017.gada 25.jūlija sēdē (protokols Nr.8) konstatēja, ka, atbilstoši konkursa nolikuma 48.punktā noteiktajam piedāvājuma izvēles kritērijam (normatīvo aktu un atklātā konkursa nolikuma prasībām atbilstošs saimnieciski visizdevīgākais piedāvājums katrā daļā), par pretendentu, kuram būtu piešķiramas līguma slēgšanas tiesības šādās atklātā konkursa daļās, atzīstams:</w:t>
      </w:r>
    </w:p>
    <w:p w:rsidR="00B36760" w:rsidRPr="00822629" w:rsidRDefault="00B36760" w:rsidP="00B36760">
      <w:pPr>
        <w:pStyle w:val="ListParagraph"/>
        <w:numPr>
          <w:ilvl w:val="1"/>
          <w:numId w:val="7"/>
        </w:numPr>
        <w:spacing w:after="120"/>
        <w:jc w:val="both"/>
        <w:rPr>
          <w:bCs/>
          <w:lang w:val="lv-LV" w:eastAsia="ar-SA"/>
        </w:rPr>
      </w:pPr>
      <w:r w:rsidRPr="00822629">
        <w:rPr>
          <w:bCs/>
          <w:lang w:val="lv-LV" w:eastAsia="ar-SA"/>
        </w:rPr>
        <w:t>konkursa 1. DAĻĀ - pretendents SIA “UNIS Ko”, piedāvājis viszemāko cenu EUR 19 998,00 bez PVN;</w:t>
      </w:r>
    </w:p>
    <w:p w:rsidR="00B36760" w:rsidRPr="00822629" w:rsidRDefault="00B36760" w:rsidP="00B36760">
      <w:pPr>
        <w:pStyle w:val="ListParagraph"/>
        <w:numPr>
          <w:ilvl w:val="1"/>
          <w:numId w:val="7"/>
        </w:numPr>
        <w:spacing w:after="120"/>
        <w:jc w:val="both"/>
        <w:rPr>
          <w:bCs/>
          <w:lang w:val="lv-LV" w:eastAsia="ar-SA"/>
        </w:rPr>
      </w:pPr>
      <w:r w:rsidRPr="00822629">
        <w:rPr>
          <w:bCs/>
          <w:lang w:val="lv-LV" w:eastAsia="ar-SA"/>
        </w:rPr>
        <w:t>konkursa 2. DAĻĀ - pretendents SIA “</w:t>
      </w:r>
      <w:proofErr w:type="spellStart"/>
      <w:r w:rsidRPr="00822629">
        <w:rPr>
          <w:bCs/>
          <w:lang w:val="lv-LV" w:eastAsia="ar-SA"/>
        </w:rPr>
        <w:t>Sentios</w:t>
      </w:r>
      <w:proofErr w:type="spellEnd"/>
      <w:r w:rsidRPr="00822629">
        <w:rPr>
          <w:bCs/>
          <w:lang w:val="lv-LV" w:eastAsia="ar-SA"/>
        </w:rPr>
        <w:t>”, piedāvājis viszemāko cenu EUR 2104,60 bez PVN;</w:t>
      </w:r>
    </w:p>
    <w:p w:rsidR="00B36760" w:rsidRPr="00822629" w:rsidRDefault="00B36760" w:rsidP="00B36760">
      <w:pPr>
        <w:pStyle w:val="ListParagraph"/>
        <w:numPr>
          <w:ilvl w:val="1"/>
          <w:numId w:val="7"/>
        </w:numPr>
        <w:spacing w:after="120"/>
        <w:jc w:val="both"/>
        <w:rPr>
          <w:bCs/>
          <w:lang w:val="lv-LV" w:eastAsia="ar-SA"/>
        </w:rPr>
      </w:pPr>
      <w:r w:rsidRPr="00822629">
        <w:rPr>
          <w:bCs/>
          <w:lang w:val="lv-LV" w:eastAsia="ar-SA"/>
        </w:rPr>
        <w:t>konkursa 3. DAĻĀ - pretendents SIA “Grandus”, piedāvājis viszemāko cenu EUR 24 313,00 bez PVN;</w:t>
      </w:r>
    </w:p>
    <w:p w:rsidR="00B36760" w:rsidRPr="00822629" w:rsidRDefault="00B36760" w:rsidP="00B36760">
      <w:pPr>
        <w:pStyle w:val="ListParagraph"/>
        <w:numPr>
          <w:ilvl w:val="1"/>
          <w:numId w:val="7"/>
        </w:numPr>
        <w:spacing w:after="120"/>
        <w:jc w:val="both"/>
        <w:rPr>
          <w:bCs/>
          <w:lang w:val="lv-LV" w:eastAsia="ar-SA"/>
        </w:rPr>
      </w:pPr>
      <w:r w:rsidRPr="00822629">
        <w:rPr>
          <w:bCs/>
          <w:lang w:val="lv-LV" w:eastAsia="ar-SA"/>
        </w:rPr>
        <w:t>konkursa 6.DAĻĀ - pretendents SIA “</w:t>
      </w:r>
      <w:proofErr w:type="spellStart"/>
      <w:r w:rsidRPr="00822629">
        <w:rPr>
          <w:bCs/>
          <w:lang w:val="lv-LV" w:eastAsia="ar-SA"/>
        </w:rPr>
        <w:t>Sentios</w:t>
      </w:r>
      <w:proofErr w:type="spellEnd"/>
      <w:r w:rsidRPr="00822629">
        <w:rPr>
          <w:bCs/>
          <w:lang w:val="lv-LV" w:eastAsia="ar-SA"/>
        </w:rPr>
        <w:t>” kā vienīgais pretendents piedāvājis cenu EUR 542,14 bez PVN.</w:t>
      </w:r>
    </w:p>
    <w:p w:rsidR="00B36760" w:rsidRPr="00822629" w:rsidRDefault="00B36760" w:rsidP="00B36760">
      <w:pPr>
        <w:pStyle w:val="ListParagraph"/>
        <w:numPr>
          <w:ilvl w:val="0"/>
          <w:numId w:val="7"/>
        </w:numPr>
        <w:spacing w:after="120"/>
        <w:contextualSpacing w:val="0"/>
        <w:jc w:val="both"/>
        <w:rPr>
          <w:lang w:val="lv-LV"/>
        </w:rPr>
      </w:pPr>
      <w:r w:rsidRPr="00822629">
        <w:rPr>
          <w:bCs/>
          <w:lang w:val="lv-LV" w:eastAsia="ar-SA"/>
        </w:rPr>
        <w:lastRenderedPageBreak/>
        <w:t>Komisija 2017.gada 25.jūlija sēdē (protokols Nr.8) nolēma</w:t>
      </w:r>
    </w:p>
    <w:p w:rsidR="00B36760" w:rsidRPr="00822629" w:rsidRDefault="00B36760" w:rsidP="00B36760">
      <w:pPr>
        <w:pStyle w:val="tv2132"/>
        <w:numPr>
          <w:ilvl w:val="1"/>
          <w:numId w:val="7"/>
        </w:numPr>
        <w:spacing w:after="60" w:line="240" w:lineRule="auto"/>
        <w:jc w:val="both"/>
        <w:rPr>
          <w:color w:val="auto"/>
          <w:sz w:val="24"/>
          <w:szCs w:val="24"/>
          <w:lang w:val="lv-LV"/>
        </w:rPr>
      </w:pPr>
      <w:r w:rsidRPr="00822629">
        <w:rPr>
          <w:color w:val="auto"/>
          <w:sz w:val="24"/>
          <w:szCs w:val="24"/>
          <w:lang w:val="lv-LV" w:eastAsia="lv-LV"/>
        </w:rPr>
        <w:t xml:space="preserve">atzīt </w:t>
      </w:r>
      <w:r w:rsidRPr="00822629">
        <w:rPr>
          <w:b/>
          <w:color w:val="auto"/>
          <w:sz w:val="24"/>
          <w:szCs w:val="24"/>
          <w:lang w:val="lv-LV"/>
        </w:rPr>
        <w:t>SIA “UNIS KO”</w:t>
      </w:r>
      <w:r w:rsidRPr="00822629">
        <w:rPr>
          <w:color w:val="auto"/>
          <w:sz w:val="24"/>
          <w:szCs w:val="24"/>
          <w:lang w:val="lv-LV"/>
        </w:rPr>
        <w:t xml:space="preserve">, </w:t>
      </w:r>
      <w:proofErr w:type="spellStart"/>
      <w:r w:rsidRPr="00822629">
        <w:rPr>
          <w:color w:val="auto"/>
          <w:sz w:val="24"/>
          <w:szCs w:val="24"/>
          <w:lang w:val="lv-LV"/>
        </w:rPr>
        <w:t>reģ.Nr</w:t>
      </w:r>
      <w:proofErr w:type="spellEnd"/>
      <w:r w:rsidRPr="00822629">
        <w:rPr>
          <w:color w:val="auto"/>
          <w:sz w:val="24"/>
          <w:szCs w:val="24"/>
          <w:lang w:val="lv-LV"/>
        </w:rPr>
        <w:t>. 40003424767, Kalnciema iela 97A - 29, Rīga, LV-1046</w:t>
      </w:r>
      <w:r w:rsidRPr="00822629">
        <w:rPr>
          <w:color w:val="auto"/>
          <w:sz w:val="24"/>
          <w:szCs w:val="24"/>
          <w:lang w:val="lv-LV" w:eastAsia="lv-LV"/>
        </w:rPr>
        <w:t xml:space="preserve">, par pretendentu, kuram atbilstoši </w:t>
      </w:r>
      <w:r w:rsidRPr="00822629">
        <w:rPr>
          <w:bCs/>
          <w:color w:val="auto"/>
          <w:sz w:val="24"/>
          <w:szCs w:val="24"/>
          <w:lang w:val="lv-LV" w:eastAsia="lv-LV"/>
        </w:rPr>
        <w:t xml:space="preserve">citām paziņojumā par līgumu un konkursa nolikumā </w:t>
      </w:r>
      <w:r w:rsidRPr="00822629">
        <w:rPr>
          <w:color w:val="auto"/>
          <w:sz w:val="24"/>
          <w:szCs w:val="24"/>
          <w:lang w:val="lv-LV" w:eastAsia="lv-LV"/>
        </w:rPr>
        <w:t xml:space="preserve">noteiktajām prasībām un </w:t>
      </w:r>
      <w:r w:rsidRPr="00822629">
        <w:rPr>
          <w:bCs/>
          <w:color w:val="auto"/>
          <w:sz w:val="24"/>
          <w:szCs w:val="24"/>
          <w:lang w:val="lv-LV" w:eastAsia="lv-LV"/>
        </w:rPr>
        <w:t>izraudzītajam piedāvājuma izvēles kritērijam</w:t>
      </w:r>
      <w:r w:rsidRPr="00822629">
        <w:rPr>
          <w:color w:val="auto"/>
          <w:sz w:val="24"/>
          <w:szCs w:val="24"/>
          <w:lang w:val="lv-LV" w:eastAsia="lv-LV"/>
        </w:rPr>
        <w:t xml:space="preserve"> būtu piešķiramas līguma slēgšanas tiesības </w:t>
      </w:r>
      <w:r w:rsidRPr="00822629">
        <w:rPr>
          <w:color w:val="auto"/>
          <w:sz w:val="24"/>
          <w:szCs w:val="24"/>
          <w:lang w:val="lv-LV"/>
        </w:rPr>
        <w:t>atklātā konkursa „V</w:t>
      </w:r>
      <w:r w:rsidRPr="00822629">
        <w:rPr>
          <w:bCs/>
          <w:color w:val="auto"/>
          <w:sz w:val="24"/>
          <w:szCs w:val="24"/>
          <w:lang w:val="lv-LV"/>
        </w:rPr>
        <w:t>irtuves aprīkojuma un saimniecībā izmantojamo pamatlīdzekļu iegāde Daugavpils pilsētas pašvaldības iestāžu vajadzībām</w:t>
      </w:r>
      <w:r w:rsidRPr="00822629">
        <w:rPr>
          <w:color w:val="auto"/>
          <w:sz w:val="24"/>
          <w:szCs w:val="24"/>
          <w:lang w:val="lv-LV"/>
        </w:rPr>
        <w:t>”, identifikācijas numurs DPD 2017/75, 1.DAĻĀ „</w:t>
      </w:r>
      <w:r w:rsidRPr="00822629">
        <w:rPr>
          <w:bCs/>
          <w:color w:val="auto"/>
          <w:sz w:val="24"/>
          <w:szCs w:val="24"/>
          <w:lang w:val="lv-LV"/>
        </w:rPr>
        <w:t>Virtuves aprīkojuma un elektroiekārtu piegāde Daugavpils pensionāru sociālās apkalpošanas teritoriālā centra vajadzībām</w:t>
      </w:r>
      <w:r w:rsidRPr="00822629">
        <w:rPr>
          <w:color w:val="auto"/>
          <w:sz w:val="24"/>
          <w:szCs w:val="24"/>
          <w:lang w:val="lv-LV"/>
        </w:rPr>
        <w:t>”;</w:t>
      </w:r>
    </w:p>
    <w:p w:rsidR="00B36760" w:rsidRPr="00822629" w:rsidRDefault="00B36760" w:rsidP="00B36760">
      <w:pPr>
        <w:pStyle w:val="tv2132"/>
        <w:numPr>
          <w:ilvl w:val="1"/>
          <w:numId w:val="7"/>
        </w:numPr>
        <w:spacing w:after="60" w:line="240" w:lineRule="auto"/>
        <w:jc w:val="both"/>
        <w:rPr>
          <w:color w:val="auto"/>
          <w:sz w:val="24"/>
          <w:szCs w:val="24"/>
          <w:lang w:val="lv-LV"/>
        </w:rPr>
      </w:pPr>
      <w:r w:rsidRPr="00822629">
        <w:rPr>
          <w:color w:val="auto"/>
          <w:sz w:val="24"/>
          <w:szCs w:val="24"/>
          <w:lang w:val="lv-LV" w:eastAsia="lv-LV"/>
        </w:rPr>
        <w:t xml:space="preserve">atzīt </w:t>
      </w:r>
      <w:r w:rsidRPr="00822629">
        <w:rPr>
          <w:b/>
          <w:color w:val="auto"/>
          <w:sz w:val="24"/>
          <w:szCs w:val="24"/>
          <w:lang w:val="lv-LV"/>
        </w:rPr>
        <w:t>SIA “</w:t>
      </w:r>
      <w:proofErr w:type="spellStart"/>
      <w:r w:rsidRPr="00822629">
        <w:rPr>
          <w:b/>
          <w:color w:val="auto"/>
          <w:sz w:val="24"/>
          <w:szCs w:val="24"/>
          <w:lang w:val="lv-LV"/>
        </w:rPr>
        <w:t>Sentios</w:t>
      </w:r>
      <w:proofErr w:type="spellEnd"/>
      <w:r w:rsidRPr="00822629">
        <w:rPr>
          <w:b/>
          <w:color w:val="auto"/>
          <w:sz w:val="24"/>
          <w:szCs w:val="24"/>
          <w:lang w:val="lv-LV"/>
        </w:rPr>
        <w:t>”</w:t>
      </w:r>
      <w:r w:rsidRPr="00822629">
        <w:rPr>
          <w:color w:val="auto"/>
          <w:sz w:val="24"/>
          <w:szCs w:val="24"/>
          <w:lang w:val="lv-LV"/>
        </w:rPr>
        <w:t xml:space="preserve">, </w:t>
      </w:r>
      <w:proofErr w:type="spellStart"/>
      <w:r w:rsidRPr="00822629">
        <w:rPr>
          <w:color w:val="auto"/>
          <w:sz w:val="24"/>
          <w:szCs w:val="24"/>
          <w:lang w:val="lv-LV"/>
        </w:rPr>
        <w:t>reģ.Nr</w:t>
      </w:r>
      <w:proofErr w:type="spellEnd"/>
      <w:r w:rsidRPr="00822629">
        <w:rPr>
          <w:color w:val="auto"/>
          <w:sz w:val="24"/>
          <w:szCs w:val="24"/>
          <w:lang w:val="lv-LV"/>
        </w:rPr>
        <w:t xml:space="preserve">. 40103868193, </w:t>
      </w:r>
      <w:r w:rsidRPr="00822629">
        <w:rPr>
          <w:color w:val="auto"/>
          <w:sz w:val="24"/>
          <w:szCs w:val="24"/>
          <w:lang w:val="lv-LV"/>
        </w:rPr>
        <w:tab/>
        <w:t>Pulkveža Brieža iela 3 - 4, Rīga, LV-1010</w:t>
      </w:r>
      <w:r w:rsidRPr="00822629">
        <w:rPr>
          <w:color w:val="auto"/>
          <w:sz w:val="24"/>
          <w:szCs w:val="24"/>
          <w:lang w:val="lv-LV" w:eastAsia="lv-LV"/>
        </w:rPr>
        <w:t xml:space="preserve">, par pretendentu, kuram atbilstoši </w:t>
      </w:r>
      <w:r w:rsidRPr="00822629">
        <w:rPr>
          <w:bCs/>
          <w:color w:val="auto"/>
          <w:sz w:val="24"/>
          <w:szCs w:val="24"/>
          <w:lang w:val="lv-LV" w:eastAsia="lv-LV"/>
        </w:rPr>
        <w:t xml:space="preserve">citām paziņojumā par līgumu un atklātā konkursa nolikumā </w:t>
      </w:r>
      <w:r w:rsidRPr="00822629">
        <w:rPr>
          <w:color w:val="auto"/>
          <w:sz w:val="24"/>
          <w:szCs w:val="24"/>
          <w:lang w:val="lv-LV" w:eastAsia="lv-LV"/>
        </w:rPr>
        <w:t xml:space="preserve">noteiktajām prasībām un </w:t>
      </w:r>
      <w:r w:rsidRPr="00822629">
        <w:rPr>
          <w:bCs/>
          <w:color w:val="auto"/>
          <w:sz w:val="24"/>
          <w:szCs w:val="24"/>
          <w:lang w:val="lv-LV" w:eastAsia="lv-LV"/>
        </w:rPr>
        <w:t>izraudzītajam piedāvājuma izvēles kritērijam</w:t>
      </w:r>
      <w:r w:rsidRPr="00822629">
        <w:rPr>
          <w:color w:val="auto"/>
          <w:sz w:val="24"/>
          <w:szCs w:val="24"/>
          <w:lang w:val="lv-LV" w:eastAsia="lv-LV"/>
        </w:rPr>
        <w:t xml:space="preserve"> būtu piešķiramas līguma slēgšanas tiesības </w:t>
      </w:r>
      <w:r w:rsidRPr="00822629">
        <w:rPr>
          <w:color w:val="auto"/>
          <w:sz w:val="24"/>
          <w:szCs w:val="24"/>
          <w:lang w:val="lv-LV"/>
        </w:rPr>
        <w:t>atklātā konkursa „V</w:t>
      </w:r>
      <w:r w:rsidRPr="00822629">
        <w:rPr>
          <w:bCs/>
          <w:color w:val="auto"/>
          <w:sz w:val="24"/>
          <w:szCs w:val="24"/>
          <w:lang w:val="lv-LV"/>
        </w:rPr>
        <w:t>irtuves aprīkojuma un saimniecībā izmantojamo pamatlīdzekļu iegāde Daugavpils pilsētas pašvaldības iestāžu vajadzībām</w:t>
      </w:r>
      <w:r w:rsidRPr="00822629">
        <w:rPr>
          <w:color w:val="auto"/>
          <w:sz w:val="24"/>
          <w:szCs w:val="24"/>
          <w:lang w:val="lv-LV"/>
        </w:rPr>
        <w:t>”, identifikācijas numurs DPD 2017/75, 2.DAĻĀ „</w:t>
      </w:r>
      <w:r w:rsidRPr="00822629">
        <w:rPr>
          <w:bCs/>
          <w:color w:val="auto"/>
          <w:sz w:val="24"/>
          <w:szCs w:val="24"/>
          <w:lang w:val="lv-LV"/>
        </w:rPr>
        <w:t>Mauriņa traktora un dzīvžoga šķēru piegāde Daugavpils pensionāru sociālās apkalpošanas teritoriālā centra vajadzībām</w:t>
      </w:r>
      <w:r w:rsidRPr="00822629">
        <w:rPr>
          <w:color w:val="auto"/>
          <w:sz w:val="24"/>
          <w:szCs w:val="24"/>
          <w:lang w:val="lv-LV"/>
        </w:rPr>
        <w:t>”;</w:t>
      </w:r>
    </w:p>
    <w:p w:rsidR="00B36760" w:rsidRPr="00822629" w:rsidRDefault="00B36760" w:rsidP="00B36760">
      <w:pPr>
        <w:pStyle w:val="tv2132"/>
        <w:numPr>
          <w:ilvl w:val="1"/>
          <w:numId w:val="7"/>
        </w:numPr>
        <w:spacing w:after="60" w:line="240" w:lineRule="auto"/>
        <w:jc w:val="both"/>
        <w:rPr>
          <w:color w:val="auto"/>
          <w:sz w:val="24"/>
          <w:szCs w:val="24"/>
          <w:lang w:val="lv-LV"/>
        </w:rPr>
      </w:pPr>
      <w:r w:rsidRPr="00822629">
        <w:rPr>
          <w:color w:val="auto"/>
          <w:sz w:val="24"/>
          <w:szCs w:val="24"/>
          <w:lang w:val="lv-LV" w:eastAsia="lv-LV"/>
        </w:rPr>
        <w:t xml:space="preserve">atzīt </w:t>
      </w:r>
      <w:r w:rsidRPr="00822629">
        <w:rPr>
          <w:b/>
          <w:color w:val="auto"/>
          <w:sz w:val="24"/>
          <w:szCs w:val="24"/>
          <w:lang w:val="lv-LV"/>
        </w:rPr>
        <w:t>SIA “Grandus”</w:t>
      </w:r>
      <w:r w:rsidRPr="00822629">
        <w:rPr>
          <w:color w:val="auto"/>
          <w:sz w:val="24"/>
          <w:szCs w:val="24"/>
          <w:lang w:val="lv-LV"/>
        </w:rPr>
        <w:t xml:space="preserve">, </w:t>
      </w:r>
      <w:proofErr w:type="spellStart"/>
      <w:r w:rsidRPr="00822629">
        <w:rPr>
          <w:color w:val="auto"/>
          <w:sz w:val="24"/>
          <w:szCs w:val="24"/>
          <w:lang w:val="lv-LV"/>
        </w:rPr>
        <w:t>reģ.Nr</w:t>
      </w:r>
      <w:proofErr w:type="spellEnd"/>
      <w:r w:rsidRPr="00822629">
        <w:rPr>
          <w:color w:val="auto"/>
          <w:sz w:val="24"/>
          <w:szCs w:val="24"/>
          <w:lang w:val="lv-LV"/>
        </w:rPr>
        <w:t>. 50103108221, Ūnijas iela 8C, Rīga, LV-1084</w:t>
      </w:r>
      <w:r w:rsidRPr="00822629">
        <w:rPr>
          <w:color w:val="auto"/>
          <w:sz w:val="24"/>
          <w:szCs w:val="24"/>
          <w:lang w:val="lv-LV" w:eastAsia="lv-LV"/>
        </w:rPr>
        <w:t xml:space="preserve">, par pretendentu, kuram atbilstoši </w:t>
      </w:r>
      <w:r w:rsidRPr="00822629">
        <w:rPr>
          <w:bCs/>
          <w:color w:val="auto"/>
          <w:sz w:val="24"/>
          <w:szCs w:val="24"/>
          <w:lang w:val="lv-LV" w:eastAsia="lv-LV"/>
        </w:rPr>
        <w:t xml:space="preserve">citām paziņojumā par līgumu un atklātā konkursa nolikumā </w:t>
      </w:r>
      <w:r w:rsidRPr="00822629">
        <w:rPr>
          <w:color w:val="auto"/>
          <w:sz w:val="24"/>
          <w:szCs w:val="24"/>
          <w:lang w:val="lv-LV" w:eastAsia="lv-LV"/>
        </w:rPr>
        <w:t xml:space="preserve">noteiktajām prasībām un </w:t>
      </w:r>
      <w:r w:rsidRPr="00822629">
        <w:rPr>
          <w:bCs/>
          <w:color w:val="auto"/>
          <w:sz w:val="24"/>
          <w:szCs w:val="24"/>
          <w:lang w:val="lv-LV" w:eastAsia="lv-LV"/>
        </w:rPr>
        <w:t>izraudzītajam piedāvājuma izvēles kritērijam</w:t>
      </w:r>
      <w:r w:rsidRPr="00822629">
        <w:rPr>
          <w:color w:val="auto"/>
          <w:sz w:val="24"/>
          <w:szCs w:val="24"/>
          <w:lang w:val="lv-LV" w:eastAsia="lv-LV"/>
        </w:rPr>
        <w:t xml:space="preserve"> būtu piešķiramas līguma slēgšanas tiesības </w:t>
      </w:r>
      <w:r w:rsidRPr="00822629">
        <w:rPr>
          <w:color w:val="auto"/>
          <w:sz w:val="24"/>
          <w:szCs w:val="24"/>
          <w:lang w:val="lv-LV"/>
        </w:rPr>
        <w:t>atklātā konkursa „V</w:t>
      </w:r>
      <w:r w:rsidRPr="00822629">
        <w:rPr>
          <w:bCs/>
          <w:color w:val="auto"/>
          <w:sz w:val="24"/>
          <w:szCs w:val="24"/>
          <w:lang w:val="lv-LV"/>
        </w:rPr>
        <w:t>irtuves aprīkojuma un saimniecībā izmantojamo pamatlīdzekļu iegāde Daugavpils pilsētas pašvaldības iestāžu vajadzībām</w:t>
      </w:r>
      <w:r w:rsidRPr="00822629">
        <w:rPr>
          <w:color w:val="auto"/>
          <w:sz w:val="24"/>
          <w:szCs w:val="24"/>
          <w:lang w:val="lv-LV"/>
        </w:rPr>
        <w:t>”, identifikācijas numurs DPD 2017/75, 3.DAĻĀ „</w:t>
      </w:r>
      <w:r w:rsidRPr="00822629">
        <w:rPr>
          <w:bCs/>
          <w:color w:val="auto"/>
          <w:sz w:val="24"/>
          <w:szCs w:val="24"/>
          <w:lang w:val="lv-LV"/>
        </w:rPr>
        <w:t>Virtuves aprīkojuma un elektroiekārtu piegāde un uzstādīšana Daugavpils pilsētas izglītības iestāžu vajadzībām”</w:t>
      </w:r>
      <w:r w:rsidRPr="00822629">
        <w:rPr>
          <w:color w:val="auto"/>
          <w:sz w:val="24"/>
          <w:szCs w:val="24"/>
          <w:lang w:val="lv-LV"/>
        </w:rPr>
        <w:t>;</w:t>
      </w:r>
    </w:p>
    <w:p w:rsidR="00B36760" w:rsidRPr="00822629" w:rsidRDefault="00B36760" w:rsidP="00B36760">
      <w:pPr>
        <w:pStyle w:val="tv2132"/>
        <w:numPr>
          <w:ilvl w:val="1"/>
          <w:numId w:val="7"/>
        </w:numPr>
        <w:spacing w:after="60" w:line="240" w:lineRule="auto"/>
        <w:jc w:val="both"/>
        <w:rPr>
          <w:color w:val="auto"/>
          <w:sz w:val="24"/>
          <w:szCs w:val="24"/>
          <w:lang w:val="lv-LV"/>
        </w:rPr>
      </w:pPr>
      <w:r w:rsidRPr="00822629">
        <w:rPr>
          <w:color w:val="auto"/>
          <w:sz w:val="24"/>
          <w:szCs w:val="24"/>
          <w:lang w:val="lv-LV" w:eastAsia="lv-LV"/>
        </w:rPr>
        <w:t xml:space="preserve">atzīt </w:t>
      </w:r>
      <w:r w:rsidRPr="00822629">
        <w:rPr>
          <w:b/>
          <w:color w:val="auto"/>
          <w:sz w:val="24"/>
          <w:szCs w:val="24"/>
          <w:lang w:val="lv-LV"/>
        </w:rPr>
        <w:t>SIA “</w:t>
      </w:r>
      <w:proofErr w:type="spellStart"/>
      <w:r w:rsidRPr="00822629">
        <w:rPr>
          <w:b/>
          <w:color w:val="auto"/>
          <w:sz w:val="24"/>
          <w:szCs w:val="24"/>
          <w:lang w:val="lv-LV"/>
        </w:rPr>
        <w:t>Sentios</w:t>
      </w:r>
      <w:proofErr w:type="spellEnd"/>
      <w:r w:rsidRPr="00822629">
        <w:rPr>
          <w:b/>
          <w:color w:val="auto"/>
          <w:sz w:val="24"/>
          <w:szCs w:val="24"/>
          <w:lang w:val="lv-LV"/>
        </w:rPr>
        <w:t>”</w:t>
      </w:r>
      <w:r w:rsidRPr="00822629">
        <w:rPr>
          <w:color w:val="auto"/>
          <w:sz w:val="24"/>
          <w:szCs w:val="24"/>
          <w:lang w:val="lv-LV"/>
        </w:rPr>
        <w:t xml:space="preserve">, </w:t>
      </w:r>
      <w:proofErr w:type="spellStart"/>
      <w:r w:rsidRPr="00822629">
        <w:rPr>
          <w:color w:val="auto"/>
          <w:sz w:val="24"/>
          <w:szCs w:val="24"/>
          <w:lang w:val="lv-LV"/>
        </w:rPr>
        <w:t>reģ.Nr</w:t>
      </w:r>
      <w:proofErr w:type="spellEnd"/>
      <w:r w:rsidRPr="00822629">
        <w:rPr>
          <w:color w:val="auto"/>
          <w:sz w:val="24"/>
          <w:szCs w:val="24"/>
          <w:lang w:val="lv-LV"/>
        </w:rPr>
        <w:t xml:space="preserve">. 40103868193, </w:t>
      </w:r>
      <w:r w:rsidRPr="00822629">
        <w:rPr>
          <w:color w:val="auto"/>
          <w:sz w:val="24"/>
          <w:szCs w:val="24"/>
          <w:lang w:val="lv-LV"/>
        </w:rPr>
        <w:tab/>
        <w:t>Pulkveža Brieža iela 3 - 4, Rīga, LV-1010</w:t>
      </w:r>
      <w:r w:rsidRPr="00822629">
        <w:rPr>
          <w:color w:val="auto"/>
          <w:sz w:val="24"/>
          <w:szCs w:val="24"/>
          <w:lang w:val="lv-LV" w:eastAsia="lv-LV"/>
        </w:rPr>
        <w:t xml:space="preserve">, par pretendentu, kuram atbilstoši </w:t>
      </w:r>
      <w:r w:rsidRPr="00822629">
        <w:rPr>
          <w:bCs/>
          <w:color w:val="auto"/>
          <w:sz w:val="24"/>
          <w:szCs w:val="24"/>
          <w:lang w:val="lv-LV" w:eastAsia="lv-LV"/>
        </w:rPr>
        <w:t xml:space="preserve">citām paziņojumā par līgumu un atklātā konkursa nolikumā </w:t>
      </w:r>
      <w:r w:rsidRPr="00822629">
        <w:rPr>
          <w:color w:val="auto"/>
          <w:sz w:val="24"/>
          <w:szCs w:val="24"/>
          <w:lang w:val="lv-LV" w:eastAsia="lv-LV"/>
        </w:rPr>
        <w:t xml:space="preserve">noteiktajām prasībām un </w:t>
      </w:r>
      <w:r w:rsidRPr="00822629">
        <w:rPr>
          <w:bCs/>
          <w:color w:val="auto"/>
          <w:sz w:val="24"/>
          <w:szCs w:val="24"/>
          <w:lang w:val="lv-LV" w:eastAsia="lv-LV"/>
        </w:rPr>
        <w:t>izraudzītajam piedāvājuma izvēles kritērijam</w:t>
      </w:r>
      <w:r w:rsidRPr="00822629">
        <w:rPr>
          <w:color w:val="auto"/>
          <w:sz w:val="24"/>
          <w:szCs w:val="24"/>
          <w:lang w:val="lv-LV" w:eastAsia="lv-LV"/>
        </w:rPr>
        <w:t xml:space="preserve"> būtu piešķiramas līguma slēgšanas tiesības </w:t>
      </w:r>
      <w:r w:rsidRPr="00822629">
        <w:rPr>
          <w:color w:val="auto"/>
          <w:sz w:val="24"/>
          <w:szCs w:val="24"/>
          <w:lang w:val="lv-LV"/>
        </w:rPr>
        <w:t>atklātā konkursa „V</w:t>
      </w:r>
      <w:r w:rsidRPr="00822629">
        <w:rPr>
          <w:bCs/>
          <w:color w:val="auto"/>
          <w:sz w:val="24"/>
          <w:szCs w:val="24"/>
          <w:lang w:val="lv-LV"/>
        </w:rPr>
        <w:t>irtuves aprīkojuma un saimniecībā izmantojamo pamatlīdzekļu iegāde Daugavpils pilsētas pašvaldības iestāžu vajadzībām</w:t>
      </w:r>
      <w:r w:rsidRPr="00822629">
        <w:rPr>
          <w:color w:val="auto"/>
          <w:sz w:val="24"/>
          <w:szCs w:val="24"/>
          <w:lang w:val="lv-LV"/>
        </w:rPr>
        <w:t>”, identifikācijas numurs DPD 2017/75, 6.DAĻĀ „</w:t>
      </w:r>
      <w:r w:rsidRPr="00822629">
        <w:rPr>
          <w:bCs/>
          <w:color w:val="auto"/>
          <w:sz w:val="24"/>
          <w:szCs w:val="24"/>
          <w:lang w:val="lv-LV"/>
        </w:rPr>
        <w:t>Elektroiekārtu piegāde Baltkrievu kultūras centra vajadzībām</w:t>
      </w:r>
      <w:r w:rsidRPr="00822629">
        <w:rPr>
          <w:color w:val="auto"/>
          <w:sz w:val="24"/>
          <w:szCs w:val="24"/>
          <w:lang w:val="lv-LV"/>
        </w:rPr>
        <w:t>”.</w:t>
      </w:r>
    </w:p>
    <w:p w:rsidR="008C6E2E" w:rsidRPr="00822629" w:rsidRDefault="008C6E2E" w:rsidP="00B36760">
      <w:pPr>
        <w:numPr>
          <w:ilvl w:val="0"/>
          <w:numId w:val="7"/>
        </w:numPr>
        <w:tabs>
          <w:tab w:val="left" w:pos="0"/>
        </w:tabs>
        <w:suppressAutoHyphens/>
        <w:spacing w:before="120" w:after="120"/>
        <w:jc w:val="both"/>
        <w:rPr>
          <w:lang w:val="lv-LV" w:eastAsia="ar-SA"/>
        </w:rPr>
      </w:pPr>
      <w:r w:rsidRPr="00822629">
        <w:rPr>
          <w:lang w:val="lv-LV"/>
        </w:rPr>
        <w:t xml:space="preserve">Komisija </w:t>
      </w:r>
      <w:r w:rsidR="00FD7BB8" w:rsidRPr="00822629">
        <w:rPr>
          <w:bCs/>
          <w:lang w:val="lv-LV"/>
        </w:rPr>
        <w:t>2017.gada 25</w:t>
      </w:r>
      <w:r w:rsidRPr="00822629">
        <w:rPr>
          <w:bCs/>
          <w:lang w:val="lv-LV"/>
        </w:rPr>
        <w:t>.jūlija sēdē (prot.Nr.</w:t>
      </w:r>
      <w:r w:rsidR="00FD7BB8" w:rsidRPr="00822629">
        <w:rPr>
          <w:bCs/>
          <w:lang w:val="lv-LV"/>
        </w:rPr>
        <w:t>9</w:t>
      </w:r>
      <w:r w:rsidRPr="00822629">
        <w:rPr>
          <w:bCs/>
          <w:lang w:val="lv-LV"/>
        </w:rPr>
        <w:t xml:space="preserve">) konstatēja, ka attiecībā </w:t>
      </w:r>
      <w:r w:rsidR="00FD7BB8" w:rsidRPr="00822629">
        <w:rPr>
          <w:bCs/>
          <w:lang w:val="lv-LV"/>
        </w:rPr>
        <w:t xml:space="preserve">uz SIA “Grandus”, </w:t>
      </w:r>
      <w:proofErr w:type="spellStart"/>
      <w:r w:rsidR="00FD7BB8" w:rsidRPr="00822629">
        <w:rPr>
          <w:bCs/>
          <w:lang w:val="lv-LV"/>
        </w:rPr>
        <w:t>reģ.Nr</w:t>
      </w:r>
      <w:proofErr w:type="spellEnd"/>
      <w:r w:rsidR="00FD7BB8" w:rsidRPr="00822629">
        <w:rPr>
          <w:bCs/>
          <w:lang w:val="lv-LV"/>
        </w:rPr>
        <w:t>. 50103108221, nepastāv Publisko iepirkumu likuma 42.panta pirmajā daļā norādītie izslēgšanas nosacījumi.</w:t>
      </w:r>
    </w:p>
    <w:p w:rsidR="00910B5E" w:rsidRPr="00822629" w:rsidRDefault="008C6E2E" w:rsidP="00E86A80">
      <w:pPr>
        <w:pStyle w:val="StyleStyle2Justified"/>
        <w:numPr>
          <w:ilvl w:val="0"/>
          <w:numId w:val="7"/>
        </w:numPr>
        <w:spacing w:before="120"/>
        <w:ind w:left="357" w:hanging="357"/>
        <w:rPr>
          <w:szCs w:val="24"/>
        </w:rPr>
      </w:pPr>
      <w:r w:rsidRPr="00822629">
        <w:rPr>
          <w:szCs w:val="24"/>
        </w:rPr>
        <w:t xml:space="preserve">Pamatojoties uz Publisko iepirkumu likuma 41.panta pirmo daļu un Ministru kabineta 2017.gada 28.februāra noteikumu Nr.107 “Iepirkuma procedūru un metu konkursu norises kārtība” 18.punktu, atklātā konkursa nolikuma 48.punktu, Komisija </w:t>
      </w:r>
      <w:r w:rsidR="00FD7BB8" w:rsidRPr="00822629">
        <w:rPr>
          <w:bCs/>
          <w:szCs w:val="24"/>
        </w:rPr>
        <w:t>2017.gada 25</w:t>
      </w:r>
      <w:r w:rsidRPr="00822629">
        <w:rPr>
          <w:bCs/>
          <w:szCs w:val="24"/>
        </w:rPr>
        <w:t>.jūlija sēdē (prot.Nr.</w:t>
      </w:r>
      <w:r w:rsidR="00FD7BB8" w:rsidRPr="00822629">
        <w:rPr>
          <w:bCs/>
          <w:szCs w:val="24"/>
        </w:rPr>
        <w:t>9</w:t>
      </w:r>
      <w:r w:rsidRPr="00822629">
        <w:rPr>
          <w:bCs/>
          <w:szCs w:val="24"/>
        </w:rPr>
        <w:t>) nolēma:</w:t>
      </w:r>
      <w:r w:rsidR="00FD7BB8" w:rsidRPr="00822629">
        <w:rPr>
          <w:szCs w:val="24"/>
          <w:lang w:eastAsia="lv-LV"/>
        </w:rPr>
        <w:t xml:space="preserve"> </w:t>
      </w:r>
      <w:r w:rsidR="00FD7BB8" w:rsidRPr="00822629">
        <w:rPr>
          <w:bCs/>
          <w:szCs w:val="24"/>
        </w:rPr>
        <w:t xml:space="preserve">atzīt </w:t>
      </w:r>
      <w:r w:rsidR="00FD7BB8" w:rsidRPr="00822629">
        <w:rPr>
          <w:b/>
          <w:bCs/>
          <w:szCs w:val="24"/>
        </w:rPr>
        <w:t>SIA “Grandus”</w:t>
      </w:r>
      <w:r w:rsidR="00FD7BB8" w:rsidRPr="00822629">
        <w:rPr>
          <w:bCs/>
          <w:szCs w:val="24"/>
        </w:rPr>
        <w:t xml:space="preserve">, </w:t>
      </w:r>
      <w:proofErr w:type="spellStart"/>
      <w:r w:rsidR="00FD7BB8" w:rsidRPr="00822629">
        <w:rPr>
          <w:bCs/>
          <w:szCs w:val="24"/>
        </w:rPr>
        <w:t>reģ.Nr</w:t>
      </w:r>
      <w:proofErr w:type="spellEnd"/>
      <w:r w:rsidR="00FD7BB8" w:rsidRPr="00822629">
        <w:rPr>
          <w:bCs/>
          <w:szCs w:val="24"/>
        </w:rPr>
        <w:t>. 50103108221, Ūnijas iela 8C, Rīga, LV-1084, par uzvarētāju atklātā konkursa „Virtuves aprīkojuma un saimniecībā izmantojamo pamatlīdzekļu iegāde Daugavpils pilsētas pašvaldības iestāžu vajadzībām”, identifikācijas numurs DPD 2017/75, 3.DAĻĀ „Virtuves aprīkojuma un elektroiekārtu piegāde un uzstādīšana Daugavpils pilsētas izglītības iestāžu vajadzībām” un piešķirt iepirkuma līguma slēgšanas tiesības par summu EUR 24 313,00 bez PVN.</w:t>
      </w:r>
    </w:p>
    <w:p w:rsidR="00FD7BB8" w:rsidRPr="00822629" w:rsidRDefault="00CA29B2" w:rsidP="00E86A80">
      <w:pPr>
        <w:pStyle w:val="StyleStyle2Justified"/>
        <w:numPr>
          <w:ilvl w:val="0"/>
          <w:numId w:val="7"/>
        </w:numPr>
        <w:spacing w:before="120"/>
        <w:ind w:left="357" w:hanging="357"/>
        <w:rPr>
          <w:szCs w:val="24"/>
        </w:rPr>
      </w:pPr>
      <w:r w:rsidRPr="00822629">
        <w:rPr>
          <w:szCs w:val="24"/>
        </w:rPr>
        <w:t xml:space="preserve">Komisija </w:t>
      </w:r>
      <w:r w:rsidR="00FD7BB8" w:rsidRPr="00822629">
        <w:rPr>
          <w:bCs/>
          <w:szCs w:val="24"/>
        </w:rPr>
        <w:t>2017.gada 31.jūlija sēdē (prot.Nr.10) konstatēja</w:t>
      </w:r>
      <w:r w:rsidR="00FD7BB8" w:rsidRPr="00822629">
        <w:rPr>
          <w:szCs w:val="24"/>
        </w:rPr>
        <w:t xml:space="preserve">, ka attiecībā uz SIA “UNIS KO”, </w:t>
      </w:r>
      <w:proofErr w:type="spellStart"/>
      <w:r w:rsidR="00FD7BB8" w:rsidRPr="00822629">
        <w:rPr>
          <w:szCs w:val="24"/>
        </w:rPr>
        <w:t>reģ.Nr</w:t>
      </w:r>
      <w:proofErr w:type="spellEnd"/>
      <w:r w:rsidR="00FD7BB8" w:rsidRPr="00822629">
        <w:rPr>
          <w:szCs w:val="24"/>
        </w:rPr>
        <w:t>. 40003424767, un SIA “</w:t>
      </w:r>
      <w:proofErr w:type="spellStart"/>
      <w:r w:rsidR="00FD7BB8" w:rsidRPr="00822629">
        <w:rPr>
          <w:szCs w:val="24"/>
        </w:rPr>
        <w:t>Sentios</w:t>
      </w:r>
      <w:proofErr w:type="spellEnd"/>
      <w:r w:rsidR="00FD7BB8" w:rsidRPr="00822629">
        <w:rPr>
          <w:szCs w:val="24"/>
        </w:rPr>
        <w:t xml:space="preserve">”, </w:t>
      </w:r>
      <w:proofErr w:type="spellStart"/>
      <w:r w:rsidR="00FD7BB8" w:rsidRPr="00822629">
        <w:rPr>
          <w:szCs w:val="24"/>
        </w:rPr>
        <w:t>reģ.Nr</w:t>
      </w:r>
      <w:proofErr w:type="spellEnd"/>
      <w:r w:rsidR="00FD7BB8" w:rsidRPr="00822629">
        <w:rPr>
          <w:szCs w:val="24"/>
        </w:rPr>
        <w:t>. 40103868193, nepastāv Publisko iepirkumu likuma 42.panta pirmajā daļā norādītie izslēgšanas nosacījumi.</w:t>
      </w:r>
    </w:p>
    <w:p w:rsidR="00FD7BB8" w:rsidRPr="00822629" w:rsidRDefault="00FD7BB8" w:rsidP="00FD7BB8">
      <w:pPr>
        <w:pStyle w:val="ListParagraph"/>
        <w:numPr>
          <w:ilvl w:val="0"/>
          <w:numId w:val="7"/>
        </w:numPr>
        <w:spacing w:after="120"/>
        <w:contextualSpacing w:val="0"/>
        <w:jc w:val="both"/>
        <w:rPr>
          <w:lang w:val="lv-LV"/>
        </w:rPr>
      </w:pPr>
      <w:r w:rsidRPr="00822629">
        <w:rPr>
          <w:lang w:val="lv-LV"/>
        </w:rPr>
        <w:lastRenderedPageBreak/>
        <w:t xml:space="preserve">Pamatojoties uz Publisko iepirkumu likuma 41.panta pirmo daļu un Ministru kabineta 2017.gada 28.februāra noteikumu Nr.107 “Iepirkuma procedūru un metu konkursu norises kārtība” 18.punktu, konkursa nolikuma 48.punktu, Komisija </w:t>
      </w:r>
      <w:r w:rsidRPr="00822629">
        <w:rPr>
          <w:bCs/>
          <w:lang w:val="lv-LV"/>
        </w:rPr>
        <w:t>2017.gada 31.jūlija sēdē (prot.Nr.10) nolēma</w:t>
      </w:r>
      <w:r w:rsidRPr="00822629">
        <w:rPr>
          <w:lang w:val="lv-LV"/>
        </w:rPr>
        <w:t>:</w:t>
      </w:r>
    </w:p>
    <w:p w:rsidR="00FD7BB8" w:rsidRPr="00822629" w:rsidRDefault="00FD7BB8" w:rsidP="00FD7BB8">
      <w:pPr>
        <w:pStyle w:val="ListParagraph"/>
        <w:numPr>
          <w:ilvl w:val="1"/>
          <w:numId w:val="7"/>
        </w:numPr>
        <w:spacing w:after="120"/>
        <w:contextualSpacing w:val="0"/>
        <w:jc w:val="both"/>
        <w:rPr>
          <w:lang w:val="lv-LV"/>
        </w:rPr>
      </w:pPr>
      <w:r w:rsidRPr="00822629">
        <w:rPr>
          <w:lang w:val="lv-LV" w:eastAsia="lv-LV"/>
        </w:rPr>
        <w:t xml:space="preserve">atzīt </w:t>
      </w:r>
      <w:r w:rsidRPr="00822629">
        <w:rPr>
          <w:b/>
          <w:lang w:val="lv-LV"/>
        </w:rPr>
        <w:t>SIA “UNIS KO”</w:t>
      </w:r>
      <w:r w:rsidRPr="00822629">
        <w:rPr>
          <w:lang w:val="lv-LV"/>
        </w:rPr>
        <w:t xml:space="preserve">, </w:t>
      </w:r>
      <w:proofErr w:type="spellStart"/>
      <w:r w:rsidRPr="00822629">
        <w:rPr>
          <w:lang w:val="lv-LV"/>
        </w:rPr>
        <w:t>reģ.Nr</w:t>
      </w:r>
      <w:proofErr w:type="spellEnd"/>
      <w:r w:rsidRPr="00822629">
        <w:rPr>
          <w:lang w:val="lv-LV"/>
        </w:rPr>
        <w:t>. 40003424767, Kalnciema iela 97A - 29, Rīga, LV-1046</w:t>
      </w:r>
      <w:r w:rsidRPr="00822629">
        <w:rPr>
          <w:lang w:val="lv-LV" w:eastAsia="lv-LV"/>
        </w:rPr>
        <w:t xml:space="preserve">, </w:t>
      </w:r>
      <w:r w:rsidRPr="00822629">
        <w:rPr>
          <w:lang w:val="lv-LV"/>
        </w:rPr>
        <w:t>par uzvarētāju atklātā konkursa „V</w:t>
      </w:r>
      <w:r w:rsidRPr="00822629">
        <w:rPr>
          <w:bCs/>
          <w:lang w:val="lv-LV"/>
        </w:rPr>
        <w:t>irtuves aprīkojuma un saimniecībā izmantojamo pamatlīdzekļu iegāde Daugavpils pilsētas pašvaldības iestāžu vajadzībām</w:t>
      </w:r>
      <w:r w:rsidRPr="00822629">
        <w:rPr>
          <w:lang w:val="lv-LV"/>
        </w:rPr>
        <w:t>”, identifikācijas numurs DPD 2017/75, 1.DAĻĀ „</w:t>
      </w:r>
      <w:r w:rsidRPr="00822629">
        <w:rPr>
          <w:bCs/>
          <w:lang w:val="lv-LV"/>
        </w:rPr>
        <w:t>Virtuves aprīkojuma un elektroiekārtu piegāde Daugavpils pensionāru sociālās apkalpošanas teritoriālā centra vajadzībām”</w:t>
      </w:r>
      <w:r w:rsidRPr="00822629">
        <w:rPr>
          <w:lang w:val="lv-LV"/>
        </w:rPr>
        <w:t xml:space="preserve"> un piešķirt iepirkuma līguma slēgšanas tiesības par summu EUR 19998,00 bez PVN;</w:t>
      </w:r>
    </w:p>
    <w:p w:rsidR="00FD7BB8" w:rsidRPr="00822629" w:rsidRDefault="00FD7BB8" w:rsidP="00FD7BB8">
      <w:pPr>
        <w:pStyle w:val="ListParagraph"/>
        <w:numPr>
          <w:ilvl w:val="1"/>
          <w:numId w:val="7"/>
        </w:numPr>
        <w:spacing w:after="120"/>
        <w:contextualSpacing w:val="0"/>
        <w:jc w:val="both"/>
        <w:rPr>
          <w:lang w:val="lv-LV"/>
        </w:rPr>
      </w:pPr>
      <w:r w:rsidRPr="00822629">
        <w:rPr>
          <w:lang w:val="lv-LV" w:eastAsia="lv-LV"/>
        </w:rPr>
        <w:t xml:space="preserve">atzīt </w:t>
      </w:r>
      <w:r w:rsidRPr="00822629">
        <w:rPr>
          <w:b/>
          <w:lang w:val="lv-LV"/>
        </w:rPr>
        <w:t>SIA “</w:t>
      </w:r>
      <w:proofErr w:type="spellStart"/>
      <w:r w:rsidRPr="00822629">
        <w:rPr>
          <w:b/>
          <w:lang w:val="lv-LV"/>
        </w:rPr>
        <w:t>Sentios</w:t>
      </w:r>
      <w:proofErr w:type="spellEnd"/>
      <w:r w:rsidRPr="00822629">
        <w:rPr>
          <w:b/>
          <w:lang w:val="lv-LV"/>
        </w:rPr>
        <w:t>”</w:t>
      </w:r>
      <w:r w:rsidRPr="00822629">
        <w:rPr>
          <w:lang w:val="lv-LV"/>
        </w:rPr>
        <w:t xml:space="preserve">, </w:t>
      </w:r>
      <w:proofErr w:type="spellStart"/>
      <w:r w:rsidRPr="00822629">
        <w:rPr>
          <w:lang w:val="lv-LV"/>
        </w:rPr>
        <w:t>reģ.Nr</w:t>
      </w:r>
      <w:proofErr w:type="spellEnd"/>
      <w:r w:rsidRPr="00822629">
        <w:rPr>
          <w:lang w:val="lv-LV"/>
        </w:rPr>
        <w:t>. 40103868193, Pulkveža Brieža iela 3 - 4, Rīga, LV-1010</w:t>
      </w:r>
      <w:r w:rsidRPr="00822629">
        <w:rPr>
          <w:lang w:val="lv-LV" w:eastAsia="lv-LV"/>
        </w:rPr>
        <w:t xml:space="preserve">, </w:t>
      </w:r>
      <w:r w:rsidRPr="00822629">
        <w:rPr>
          <w:lang w:val="lv-LV"/>
        </w:rPr>
        <w:t>par uzvarētāju atklātā konkursa „V</w:t>
      </w:r>
      <w:r w:rsidRPr="00822629">
        <w:rPr>
          <w:bCs/>
          <w:lang w:val="lv-LV"/>
        </w:rPr>
        <w:t>irtuves aprīkojuma un saimniecībā izmantojamo pamatlīdzekļu iegāde Daugavpils pilsētas pašvaldības iestāžu vajadzībām</w:t>
      </w:r>
      <w:r w:rsidRPr="00822629">
        <w:rPr>
          <w:lang w:val="lv-LV"/>
        </w:rPr>
        <w:t>”, identifikācijas numurs DPD 2017/75, 2.DAĻĀ „</w:t>
      </w:r>
      <w:r w:rsidRPr="00822629">
        <w:rPr>
          <w:bCs/>
          <w:lang w:val="lv-LV"/>
        </w:rPr>
        <w:t>Mauriņa traktora un dzīvžoga šķēru piegāde Daugavpils pensionāru sociālās apkalpošanas teritoriālā centra vajadzībām”</w:t>
      </w:r>
      <w:r w:rsidRPr="00822629">
        <w:rPr>
          <w:lang w:val="lv-LV"/>
        </w:rPr>
        <w:t xml:space="preserve"> un piešķirt iepirkuma līguma slēgšanas tiesības par summu EUR 2104,60 bez PVN;</w:t>
      </w:r>
    </w:p>
    <w:p w:rsidR="00FD7BB8" w:rsidRPr="00822629" w:rsidRDefault="00FD7BB8" w:rsidP="00FD7BB8">
      <w:pPr>
        <w:pStyle w:val="ListParagraph"/>
        <w:numPr>
          <w:ilvl w:val="1"/>
          <w:numId w:val="7"/>
        </w:numPr>
        <w:spacing w:after="120"/>
        <w:contextualSpacing w:val="0"/>
        <w:jc w:val="both"/>
        <w:rPr>
          <w:lang w:val="lv-LV"/>
        </w:rPr>
      </w:pPr>
      <w:r w:rsidRPr="00822629">
        <w:rPr>
          <w:lang w:val="lv-LV" w:eastAsia="lv-LV"/>
        </w:rPr>
        <w:t xml:space="preserve">atzīt </w:t>
      </w:r>
      <w:r w:rsidRPr="00822629">
        <w:rPr>
          <w:b/>
          <w:lang w:val="lv-LV"/>
        </w:rPr>
        <w:t>SIA “</w:t>
      </w:r>
      <w:proofErr w:type="spellStart"/>
      <w:r w:rsidRPr="00822629">
        <w:rPr>
          <w:b/>
          <w:lang w:val="lv-LV"/>
        </w:rPr>
        <w:t>Sentios</w:t>
      </w:r>
      <w:proofErr w:type="spellEnd"/>
      <w:r w:rsidRPr="00822629">
        <w:rPr>
          <w:b/>
          <w:lang w:val="lv-LV"/>
        </w:rPr>
        <w:t>”</w:t>
      </w:r>
      <w:r w:rsidRPr="00822629">
        <w:rPr>
          <w:lang w:val="lv-LV"/>
        </w:rPr>
        <w:t xml:space="preserve">, </w:t>
      </w:r>
      <w:proofErr w:type="spellStart"/>
      <w:r w:rsidRPr="00822629">
        <w:rPr>
          <w:lang w:val="lv-LV"/>
        </w:rPr>
        <w:t>reģ.Nr</w:t>
      </w:r>
      <w:proofErr w:type="spellEnd"/>
      <w:r w:rsidRPr="00822629">
        <w:rPr>
          <w:lang w:val="lv-LV"/>
        </w:rPr>
        <w:t>. 40103868193, Pulkveža Brieža iela 3 - 4, Rīga, LV-1010</w:t>
      </w:r>
      <w:r w:rsidRPr="00822629">
        <w:rPr>
          <w:lang w:val="lv-LV" w:eastAsia="lv-LV"/>
        </w:rPr>
        <w:t xml:space="preserve">, </w:t>
      </w:r>
      <w:r w:rsidRPr="00822629">
        <w:rPr>
          <w:lang w:val="lv-LV"/>
        </w:rPr>
        <w:t>par uzvarētāju atklātā konkursa „V</w:t>
      </w:r>
      <w:r w:rsidRPr="00822629">
        <w:rPr>
          <w:bCs/>
          <w:lang w:val="lv-LV"/>
        </w:rPr>
        <w:t>irtuves aprīkojuma un saimniecībā izmantojamo pamatlīdzekļu iegāde Daugavpils pilsētas pašvaldības iestāžu vajadzībām</w:t>
      </w:r>
      <w:r w:rsidRPr="00822629">
        <w:rPr>
          <w:lang w:val="lv-LV"/>
        </w:rPr>
        <w:t>”, identifikācijas numurs DPD 2017/75, 6.DAĻĀ „</w:t>
      </w:r>
      <w:r w:rsidRPr="00822629">
        <w:rPr>
          <w:bCs/>
          <w:lang w:val="lv-LV"/>
        </w:rPr>
        <w:t>Elektroiekārtu piegāde Baltkrievu kultūras centra vajadzībām”</w:t>
      </w:r>
      <w:r w:rsidRPr="00822629">
        <w:rPr>
          <w:lang w:val="lv-LV"/>
        </w:rPr>
        <w:t xml:space="preserve"> un piešķirt iepirkuma līguma slēgšanas tiesības par summu EUR 542,14 bez PVN</w:t>
      </w:r>
      <w:r w:rsidR="00502CD0" w:rsidRPr="00822629">
        <w:rPr>
          <w:lang w:val="lv-LV"/>
        </w:rPr>
        <w:t>.</w:t>
      </w:r>
    </w:p>
    <w:p w:rsidR="00CA29B2" w:rsidRPr="00822629" w:rsidRDefault="00CA29B2" w:rsidP="00CA29B2">
      <w:pPr>
        <w:pStyle w:val="StyleStyle2Justified"/>
        <w:numPr>
          <w:ilvl w:val="0"/>
          <w:numId w:val="7"/>
        </w:numPr>
        <w:spacing w:before="120"/>
        <w:ind w:left="357" w:hanging="357"/>
        <w:rPr>
          <w:bCs/>
          <w:szCs w:val="24"/>
        </w:rPr>
      </w:pPr>
      <w:r w:rsidRPr="00822629">
        <w:rPr>
          <w:bCs/>
          <w:szCs w:val="24"/>
        </w:rPr>
        <w:t>Komisija 2017.gada 25.jūlija sēdē (</w:t>
      </w:r>
      <w:proofErr w:type="spellStart"/>
      <w:r w:rsidRPr="00822629">
        <w:rPr>
          <w:bCs/>
          <w:szCs w:val="24"/>
        </w:rPr>
        <w:t>prot</w:t>
      </w:r>
      <w:proofErr w:type="spellEnd"/>
      <w:r w:rsidRPr="00822629">
        <w:rPr>
          <w:bCs/>
          <w:szCs w:val="24"/>
        </w:rPr>
        <w:t>. Nr.8) nolēma pārtraukt atklātā konkursa „Virtuves aprīkojuma un saimniecībā izmantojamo pamatlīdzekļu iegāde Daugavpils pilsētas pašvaldības iestāžu vajadzībām”, identifikācijas numurs DPD 2017/75, 4. un 5.DAĻU, sakarā ar to, ka pretendentu piedāvātās līgumcenas būtiski pārsniedz paredzamo līgumcenu.</w:t>
      </w:r>
    </w:p>
    <w:p w:rsidR="008F0716" w:rsidRPr="00822629" w:rsidRDefault="008F0716" w:rsidP="008F0716">
      <w:pPr>
        <w:pStyle w:val="StyleStyle2Justified"/>
        <w:numPr>
          <w:ilvl w:val="0"/>
          <w:numId w:val="7"/>
        </w:numPr>
        <w:spacing w:before="120"/>
        <w:ind w:left="357" w:hanging="357"/>
        <w:rPr>
          <w:szCs w:val="24"/>
        </w:rPr>
      </w:pPr>
      <w:r w:rsidRPr="00822629">
        <w:rPr>
          <w:szCs w:val="24"/>
        </w:rPr>
        <w:t>Pretendent</w:t>
      </w:r>
      <w:r w:rsidR="00B36760" w:rsidRPr="00822629">
        <w:rPr>
          <w:szCs w:val="24"/>
        </w:rPr>
        <w:t>i</w:t>
      </w:r>
      <w:r w:rsidRPr="00822629">
        <w:rPr>
          <w:szCs w:val="24"/>
        </w:rPr>
        <w:t xml:space="preserve"> nepiesaista apakšuzņēmējus un pretendent</w:t>
      </w:r>
      <w:r w:rsidR="00B36760" w:rsidRPr="00822629">
        <w:rPr>
          <w:szCs w:val="24"/>
        </w:rPr>
        <w:t>i</w:t>
      </w:r>
      <w:r w:rsidRPr="00822629">
        <w:rPr>
          <w:szCs w:val="24"/>
        </w:rPr>
        <w:t xml:space="preserve"> nebalstās uz personu, lai apliecinātu, ka tā kvalifikācija atbilst paziņojumā par līgumu vai iepirkuma procedūras dokumentos noteiktajām prasībām.</w:t>
      </w:r>
    </w:p>
    <w:p w:rsidR="008F0716" w:rsidRPr="00822629" w:rsidRDefault="008F0716" w:rsidP="00193C25">
      <w:pPr>
        <w:pStyle w:val="StyleStyle2Justified"/>
        <w:numPr>
          <w:ilvl w:val="0"/>
          <w:numId w:val="7"/>
        </w:numPr>
        <w:spacing w:before="120"/>
        <w:ind w:left="357" w:hanging="357"/>
        <w:rPr>
          <w:bCs/>
          <w:szCs w:val="24"/>
        </w:rPr>
      </w:pPr>
      <w:r w:rsidRPr="00822629">
        <w:rPr>
          <w:szCs w:val="24"/>
        </w:rPr>
        <w:t xml:space="preserve">Ministru kabineta 2017.gada 28.februāra noteikumu Nr.107 “Iepirkuma procedūru un metu konkursu norises kārtība” </w:t>
      </w:r>
      <w:r w:rsidRPr="00822629">
        <w:rPr>
          <w:bCs/>
          <w:szCs w:val="24"/>
        </w:rPr>
        <w:t xml:space="preserve">19.punkts nosaka, ja piedāvājumu ir iesniedzis tikai viens piegādātājs,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 </w:t>
      </w:r>
      <w:r w:rsidR="00193C25" w:rsidRPr="00822629">
        <w:rPr>
          <w:bCs/>
          <w:szCs w:val="24"/>
        </w:rPr>
        <w:t>Komisija 2017.gada 19.jūlija sēdē (protokols Nr.7) konstatē, ka konkursa 4., 5. un 6.daļā piedāvājumu ir iesniedzis tikai viens pretendents. Ņemot vērā, ka tikai viens pretendents ir iesniedzis piedāvājumu konkursa 4., 5. un 6.daļā, Komisija vērtēja, vai minētais apstāklis nav par pamatu konkursa pārtraukšanai 4., 5. un 6.daļā. Komisija konstatēja, ka konkursa nolikums saturēja minimālas pretendentu kvalifikācijas prasības. Lai kvalificētos dalībai konkursa 4., 5. un 6.daļā nekādas specifiskas prasības attiecībā uz saimniecisko un finansiālo stāvokli, tehniskajām un profesionālajām spējām pretendentiem netika izvirzītas. Komisija konstatēja, ka kvalifikācijas prasības bija noteiktas samērīgas, līdz ar to nebija pamata konkursa pārtraukšanai 4., 5. un 6.daļā</w:t>
      </w:r>
      <w:r w:rsidRPr="00822629">
        <w:rPr>
          <w:bCs/>
          <w:szCs w:val="24"/>
        </w:rPr>
        <w:t>.</w:t>
      </w:r>
    </w:p>
    <w:p w:rsidR="00EC52C9" w:rsidRPr="00822629" w:rsidRDefault="00EC52C9" w:rsidP="00EC52C9">
      <w:pPr>
        <w:numPr>
          <w:ilvl w:val="0"/>
          <w:numId w:val="7"/>
        </w:numPr>
        <w:tabs>
          <w:tab w:val="left" w:pos="0"/>
        </w:tabs>
        <w:suppressAutoHyphens/>
        <w:spacing w:after="80"/>
        <w:jc w:val="both"/>
        <w:rPr>
          <w:lang w:eastAsia="ar-SA"/>
        </w:rPr>
      </w:pPr>
      <w:r w:rsidRPr="00822629">
        <w:rPr>
          <w:lang w:eastAsia="lv-LV"/>
        </w:rPr>
        <w:t xml:space="preserve">Par </w:t>
      </w:r>
      <w:proofErr w:type="spellStart"/>
      <w:r w:rsidRPr="00822629">
        <w:rPr>
          <w:lang w:eastAsia="lv-LV"/>
        </w:rPr>
        <w:t>nepamatoti</w:t>
      </w:r>
      <w:proofErr w:type="spellEnd"/>
      <w:r w:rsidRPr="00822629">
        <w:rPr>
          <w:lang w:eastAsia="lv-LV"/>
        </w:rPr>
        <w:t xml:space="preserve"> </w:t>
      </w:r>
      <w:proofErr w:type="spellStart"/>
      <w:r w:rsidRPr="00822629">
        <w:rPr>
          <w:lang w:eastAsia="lv-LV"/>
        </w:rPr>
        <w:t>lētiem</w:t>
      </w:r>
      <w:proofErr w:type="spellEnd"/>
      <w:r w:rsidRPr="00822629">
        <w:rPr>
          <w:lang w:eastAsia="lv-LV"/>
        </w:rPr>
        <w:t xml:space="preserve"> </w:t>
      </w:r>
      <w:proofErr w:type="spellStart"/>
      <w:r w:rsidRPr="00822629">
        <w:rPr>
          <w:lang w:eastAsia="lv-LV"/>
        </w:rPr>
        <w:t>atzītie</w:t>
      </w:r>
      <w:proofErr w:type="spellEnd"/>
      <w:r w:rsidRPr="00822629">
        <w:rPr>
          <w:lang w:eastAsia="lv-LV"/>
        </w:rPr>
        <w:t xml:space="preserve"> </w:t>
      </w:r>
      <w:proofErr w:type="spellStart"/>
      <w:r w:rsidRPr="00822629">
        <w:rPr>
          <w:lang w:eastAsia="lv-LV"/>
        </w:rPr>
        <w:t>piedāvājumi</w:t>
      </w:r>
      <w:proofErr w:type="spellEnd"/>
      <w:r w:rsidRPr="00822629">
        <w:rPr>
          <w:lang w:eastAsia="lv-LV"/>
        </w:rPr>
        <w:t xml:space="preserve"> – nav.</w:t>
      </w:r>
    </w:p>
    <w:p w:rsidR="00EC52C9" w:rsidRPr="00822629" w:rsidRDefault="00EC52C9" w:rsidP="00EC52C9">
      <w:pPr>
        <w:numPr>
          <w:ilvl w:val="0"/>
          <w:numId w:val="7"/>
        </w:numPr>
        <w:tabs>
          <w:tab w:val="left" w:pos="0"/>
        </w:tabs>
        <w:suppressAutoHyphens/>
        <w:spacing w:after="80"/>
        <w:jc w:val="both"/>
        <w:rPr>
          <w:lang w:eastAsia="ar-SA"/>
        </w:rPr>
      </w:pPr>
      <w:proofErr w:type="spellStart"/>
      <w:r w:rsidRPr="00822629">
        <w:rPr>
          <w:lang w:eastAsia="lv-LV"/>
        </w:rPr>
        <w:lastRenderedPageBreak/>
        <w:t>Iemesli</w:t>
      </w:r>
      <w:proofErr w:type="spellEnd"/>
      <w:r w:rsidRPr="00822629">
        <w:rPr>
          <w:lang w:eastAsia="lv-LV"/>
        </w:rPr>
        <w:t xml:space="preserve">, </w:t>
      </w:r>
      <w:proofErr w:type="spellStart"/>
      <w:r w:rsidRPr="00822629">
        <w:rPr>
          <w:lang w:eastAsia="lv-LV"/>
        </w:rPr>
        <w:t>kuru</w:t>
      </w:r>
      <w:proofErr w:type="spellEnd"/>
      <w:r w:rsidRPr="00822629">
        <w:rPr>
          <w:lang w:eastAsia="lv-LV"/>
        </w:rPr>
        <w:t xml:space="preserve"> </w:t>
      </w:r>
      <w:proofErr w:type="spellStart"/>
      <w:proofErr w:type="gramStart"/>
      <w:r w:rsidRPr="00822629">
        <w:rPr>
          <w:lang w:eastAsia="lv-LV"/>
        </w:rPr>
        <w:t>dēļ</w:t>
      </w:r>
      <w:proofErr w:type="spellEnd"/>
      <w:proofErr w:type="gramEnd"/>
      <w:r w:rsidRPr="00822629">
        <w:rPr>
          <w:lang w:eastAsia="lv-LV"/>
        </w:rPr>
        <w:t xml:space="preserve"> </w:t>
      </w:r>
      <w:proofErr w:type="spellStart"/>
      <w:r w:rsidRPr="00822629">
        <w:rPr>
          <w:lang w:eastAsia="lv-LV"/>
        </w:rPr>
        <w:t>netiek</w:t>
      </w:r>
      <w:proofErr w:type="spellEnd"/>
      <w:r w:rsidRPr="00822629">
        <w:rPr>
          <w:lang w:eastAsia="lv-LV"/>
        </w:rPr>
        <w:t xml:space="preserve"> </w:t>
      </w:r>
      <w:proofErr w:type="spellStart"/>
      <w:r w:rsidRPr="00822629">
        <w:rPr>
          <w:lang w:eastAsia="lv-LV"/>
        </w:rPr>
        <w:t>paredzēta</w:t>
      </w:r>
      <w:proofErr w:type="spellEnd"/>
      <w:r w:rsidRPr="00822629">
        <w:rPr>
          <w:lang w:eastAsia="lv-LV"/>
        </w:rPr>
        <w:t xml:space="preserve"> </w:t>
      </w:r>
      <w:proofErr w:type="spellStart"/>
      <w:r w:rsidRPr="00822629">
        <w:rPr>
          <w:lang w:eastAsia="lv-LV"/>
        </w:rPr>
        <w:t>elektroniska</w:t>
      </w:r>
      <w:proofErr w:type="spellEnd"/>
      <w:r w:rsidRPr="00822629">
        <w:rPr>
          <w:lang w:eastAsia="lv-LV"/>
        </w:rPr>
        <w:t xml:space="preserve"> </w:t>
      </w:r>
      <w:proofErr w:type="spellStart"/>
      <w:r w:rsidRPr="00822629">
        <w:rPr>
          <w:lang w:eastAsia="lv-LV"/>
        </w:rPr>
        <w:t>piedāvājumu</w:t>
      </w:r>
      <w:proofErr w:type="spellEnd"/>
      <w:r w:rsidRPr="00822629">
        <w:rPr>
          <w:lang w:eastAsia="lv-LV"/>
        </w:rPr>
        <w:t xml:space="preserve"> </w:t>
      </w:r>
      <w:proofErr w:type="spellStart"/>
      <w:r w:rsidRPr="00822629">
        <w:rPr>
          <w:lang w:eastAsia="lv-LV"/>
        </w:rPr>
        <w:t>iesniegšana</w:t>
      </w:r>
      <w:proofErr w:type="spellEnd"/>
      <w:r w:rsidRPr="00822629">
        <w:rPr>
          <w:lang w:eastAsia="lv-LV"/>
        </w:rPr>
        <w:t xml:space="preserve"> – </w:t>
      </w:r>
      <w:proofErr w:type="spellStart"/>
      <w:r w:rsidRPr="00822629">
        <w:rPr>
          <w:lang w:eastAsia="lv-LV"/>
        </w:rPr>
        <w:t>pamatojoties</w:t>
      </w:r>
      <w:proofErr w:type="spellEnd"/>
      <w:r w:rsidRPr="00822629">
        <w:rPr>
          <w:lang w:eastAsia="lv-LV"/>
        </w:rPr>
        <w:t xml:space="preserve"> </w:t>
      </w:r>
      <w:proofErr w:type="spellStart"/>
      <w:r w:rsidRPr="00822629">
        <w:rPr>
          <w:lang w:eastAsia="lv-LV"/>
        </w:rPr>
        <w:t>uz</w:t>
      </w:r>
      <w:proofErr w:type="spellEnd"/>
      <w:r w:rsidRPr="00822629">
        <w:rPr>
          <w:lang w:eastAsia="lv-LV"/>
        </w:rPr>
        <w:t xml:space="preserve"> </w:t>
      </w:r>
      <w:proofErr w:type="spellStart"/>
      <w:r w:rsidRPr="00822629">
        <w:rPr>
          <w:lang w:eastAsia="lv-LV"/>
        </w:rPr>
        <w:t>Publisko</w:t>
      </w:r>
      <w:proofErr w:type="spellEnd"/>
      <w:r w:rsidRPr="00822629">
        <w:rPr>
          <w:lang w:eastAsia="lv-LV"/>
        </w:rPr>
        <w:t xml:space="preserve"> </w:t>
      </w:r>
      <w:proofErr w:type="spellStart"/>
      <w:r w:rsidRPr="00822629">
        <w:rPr>
          <w:lang w:eastAsia="lv-LV"/>
        </w:rPr>
        <w:t>iepirkumu</w:t>
      </w:r>
      <w:proofErr w:type="spellEnd"/>
      <w:r w:rsidRPr="00822629">
        <w:rPr>
          <w:lang w:eastAsia="lv-LV"/>
        </w:rPr>
        <w:t xml:space="preserve"> </w:t>
      </w:r>
      <w:proofErr w:type="spellStart"/>
      <w:r w:rsidRPr="00822629">
        <w:rPr>
          <w:lang w:eastAsia="lv-LV"/>
        </w:rPr>
        <w:t>likuma</w:t>
      </w:r>
      <w:proofErr w:type="spellEnd"/>
      <w:r w:rsidRPr="00822629">
        <w:rPr>
          <w:lang w:eastAsia="lv-LV"/>
        </w:rPr>
        <w:t xml:space="preserve"> </w:t>
      </w:r>
      <w:proofErr w:type="spellStart"/>
      <w:r w:rsidRPr="00822629">
        <w:rPr>
          <w:lang w:eastAsia="lv-LV"/>
        </w:rPr>
        <w:t>Pārejas</w:t>
      </w:r>
      <w:proofErr w:type="spellEnd"/>
      <w:r w:rsidRPr="00822629">
        <w:rPr>
          <w:lang w:eastAsia="lv-LV"/>
        </w:rPr>
        <w:t xml:space="preserve"> </w:t>
      </w:r>
      <w:proofErr w:type="spellStart"/>
      <w:r w:rsidRPr="00822629">
        <w:rPr>
          <w:lang w:eastAsia="lv-LV"/>
        </w:rPr>
        <w:t>noteikumu</w:t>
      </w:r>
      <w:proofErr w:type="spellEnd"/>
      <w:r w:rsidRPr="00822629">
        <w:rPr>
          <w:lang w:eastAsia="lv-LV"/>
        </w:rPr>
        <w:t xml:space="preserve"> </w:t>
      </w:r>
      <w:r w:rsidR="00BA3881" w:rsidRPr="00822629">
        <w:rPr>
          <w:lang w:eastAsia="lv-LV"/>
        </w:rPr>
        <w:t>3</w:t>
      </w:r>
      <w:r w:rsidRPr="00822629">
        <w:rPr>
          <w:lang w:eastAsia="lv-LV"/>
        </w:rPr>
        <w:t xml:space="preserve">.punktu. </w:t>
      </w:r>
    </w:p>
    <w:p w:rsidR="00E86A80" w:rsidRPr="00822629" w:rsidRDefault="00A90C5E" w:rsidP="00E86A80">
      <w:pPr>
        <w:pStyle w:val="StyleStyle2Justified"/>
        <w:numPr>
          <w:ilvl w:val="0"/>
          <w:numId w:val="7"/>
        </w:numPr>
        <w:spacing w:before="120"/>
        <w:ind w:left="357" w:hanging="357"/>
        <w:rPr>
          <w:szCs w:val="24"/>
        </w:rPr>
      </w:pPr>
      <w:r w:rsidRPr="00822629">
        <w:rPr>
          <w:szCs w:val="24"/>
          <w:lang w:eastAsia="lv-LV"/>
        </w:rPr>
        <w:t>Konstatētie interešu konflikti – nav konstatēti.</w:t>
      </w:r>
    </w:p>
    <w:p w:rsidR="00A90C5E" w:rsidRPr="00822629" w:rsidRDefault="00C0190F" w:rsidP="00E86A80">
      <w:pPr>
        <w:pStyle w:val="StyleStyle2Justified"/>
        <w:numPr>
          <w:ilvl w:val="0"/>
          <w:numId w:val="7"/>
        </w:numPr>
        <w:spacing w:before="120"/>
        <w:ind w:left="357" w:hanging="357"/>
        <w:rPr>
          <w:szCs w:val="24"/>
        </w:rPr>
      </w:pPr>
      <w:r w:rsidRPr="00822629">
        <w:rPr>
          <w:szCs w:val="24"/>
          <w:lang w:eastAsia="lv-LV"/>
        </w:rPr>
        <w:t>P</w:t>
      </w:r>
      <w:r w:rsidR="00922D0D" w:rsidRPr="00822629">
        <w:rPr>
          <w:szCs w:val="24"/>
          <w:lang w:eastAsia="lv-LV"/>
        </w:rPr>
        <w:t>retendent</w:t>
      </w:r>
      <w:r w:rsidR="00A9126C" w:rsidRPr="00822629">
        <w:rPr>
          <w:szCs w:val="24"/>
          <w:lang w:eastAsia="lv-LV"/>
        </w:rPr>
        <w:t>i</w:t>
      </w:r>
      <w:r w:rsidR="00A90C5E" w:rsidRPr="00822629">
        <w:rPr>
          <w:szCs w:val="24"/>
          <w:lang w:eastAsia="lv-LV"/>
        </w:rPr>
        <w:t xml:space="preserve"> </w:t>
      </w:r>
      <w:r w:rsidR="008468A7" w:rsidRPr="00822629">
        <w:rPr>
          <w:szCs w:val="24"/>
          <w:lang w:eastAsia="lv-LV"/>
        </w:rPr>
        <w:t xml:space="preserve">2017.gada </w:t>
      </w:r>
      <w:r w:rsidR="00A9126C" w:rsidRPr="00822629">
        <w:rPr>
          <w:szCs w:val="24"/>
          <w:lang w:eastAsia="lv-LV"/>
        </w:rPr>
        <w:t>26</w:t>
      </w:r>
      <w:r w:rsidR="008F0716" w:rsidRPr="00822629">
        <w:rPr>
          <w:szCs w:val="24"/>
          <w:lang w:eastAsia="lv-LV"/>
        </w:rPr>
        <w:t>.jūlijā</w:t>
      </w:r>
      <w:r w:rsidR="00A9126C" w:rsidRPr="00822629">
        <w:rPr>
          <w:szCs w:val="24"/>
          <w:lang w:eastAsia="lv-LV"/>
        </w:rPr>
        <w:t xml:space="preserve"> (atklātā konkursa 3., 4. un 5.DAĻĀ) un 2017.gada 1</w:t>
      </w:r>
      <w:r w:rsidR="00531DD6" w:rsidRPr="00822629">
        <w:rPr>
          <w:szCs w:val="24"/>
          <w:lang w:eastAsia="lv-LV"/>
        </w:rPr>
        <w:t>.augustā</w:t>
      </w:r>
      <w:r w:rsidR="00A9126C" w:rsidRPr="00822629">
        <w:rPr>
          <w:szCs w:val="24"/>
          <w:lang w:eastAsia="lv-LV"/>
        </w:rPr>
        <w:t xml:space="preserve"> (atklātā konkursa </w:t>
      </w:r>
      <w:r w:rsidR="00193C25" w:rsidRPr="00822629">
        <w:rPr>
          <w:szCs w:val="24"/>
          <w:lang w:eastAsia="lv-LV"/>
        </w:rPr>
        <w:t xml:space="preserve">1., </w:t>
      </w:r>
      <w:r w:rsidR="00A9126C" w:rsidRPr="00822629">
        <w:rPr>
          <w:szCs w:val="24"/>
          <w:lang w:eastAsia="lv-LV"/>
        </w:rPr>
        <w:t xml:space="preserve">2. un </w:t>
      </w:r>
      <w:r w:rsidR="00193C25" w:rsidRPr="00822629">
        <w:rPr>
          <w:szCs w:val="24"/>
          <w:lang w:eastAsia="lv-LV"/>
        </w:rPr>
        <w:t>6</w:t>
      </w:r>
      <w:r w:rsidR="00A9126C" w:rsidRPr="00822629">
        <w:rPr>
          <w:szCs w:val="24"/>
          <w:lang w:eastAsia="lv-LV"/>
        </w:rPr>
        <w:t xml:space="preserve">.DAĻĀ) </w:t>
      </w:r>
      <w:r w:rsidR="00A90C5E" w:rsidRPr="00822629">
        <w:rPr>
          <w:szCs w:val="24"/>
          <w:lang w:eastAsia="lv-LV"/>
        </w:rPr>
        <w:t>tika inform</w:t>
      </w:r>
      <w:r w:rsidR="00417333" w:rsidRPr="00822629">
        <w:rPr>
          <w:szCs w:val="24"/>
          <w:lang w:eastAsia="lv-LV"/>
        </w:rPr>
        <w:t>ēt</w:t>
      </w:r>
      <w:r w:rsidR="00193C25" w:rsidRPr="00822629">
        <w:rPr>
          <w:szCs w:val="24"/>
          <w:lang w:eastAsia="lv-LV"/>
        </w:rPr>
        <w:t>i</w:t>
      </w:r>
      <w:r w:rsidR="00A90C5E" w:rsidRPr="00822629">
        <w:rPr>
          <w:szCs w:val="24"/>
          <w:lang w:eastAsia="lv-LV"/>
        </w:rPr>
        <w:t xml:space="preserve"> par iepirkuma procedūras rezultātiem</w:t>
      </w:r>
      <w:r w:rsidR="00922D0D" w:rsidRPr="00822629">
        <w:rPr>
          <w:szCs w:val="24"/>
          <w:lang w:eastAsia="lv-LV"/>
        </w:rPr>
        <w:t>.</w:t>
      </w:r>
    </w:p>
    <w:p w:rsidR="00922D0D" w:rsidRPr="00CA29B2" w:rsidRDefault="00922D0D" w:rsidP="00922D0D">
      <w:pPr>
        <w:tabs>
          <w:tab w:val="left" w:pos="0"/>
        </w:tabs>
        <w:spacing w:before="120"/>
        <w:jc w:val="both"/>
        <w:rPr>
          <w:lang w:val="lv-LV" w:eastAsia="lv-LV"/>
        </w:rPr>
      </w:pPr>
      <w:r w:rsidRPr="00CA29B2">
        <w:rPr>
          <w:lang w:val="lv-LV"/>
        </w:rPr>
        <w:t>Z</w:t>
      </w:r>
      <w:r w:rsidR="00417333" w:rsidRPr="00CA29B2">
        <w:rPr>
          <w:lang w:val="lv-LV"/>
        </w:rPr>
        <w:t xml:space="preserve">iņojums ir sastādīts uz </w:t>
      </w:r>
      <w:r w:rsidR="00531DD6" w:rsidRPr="00CA29B2">
        <w:rPr>
          <w:lang w:val="lv-LV"/>
        </w:rPr>
        <w:t>9</w:t>
      </w:r>
      <w:r w:rsidR="00A60084" w:rsidRPr="00CA29B2">
        <w:rPr>
          <w:lang w:val="lv-LV"/>
        </w:rPr>
        <w:t xml:space="preserve"> (</w:t>
      </w:r>
      <w:r w:rsidR="00531DD6" w:rsidRPr="00CA29B2">
        <w:rPr>
          <w:lang w:val="lv-LV"/>
        </w:rPr>
        <w:t>deviņām</w:t>
      </w:r>
      <w:r w:rsidR="00C0190F" w:rsidRPr="00CA29B2">
        <w:rPr>
          <w:lang w:val="lv-LV"/>
        </w:rPr>
        <w:t>)</w:t>
      </w:r>
      <w:r w:rsidR="00BF6A22" w:rsidRPr="00CA29B2">
        <w:rPr>
          <w:lang w:val="lv-LV"/>
        </w:rPr>
        <w:t xml:space="preserve"> lapaspusē</w:t>
      </w:r>
      <w:r w:rsidRPr="00CA29B2">
        <w:rPr>
          <w:lang w:val="lv-LV"/>
        </w:rPr>
        <w:t>m.</w:t>
      </w:r>
    </w:p>
    <w:p w:rsidR="00922D0D" w:rsidRPr="00822629" w:rsidRDefault="008468A7" w:rsidP="00922D0D">
      <w:pPr>
        <w:pStyle w:val="Header"/>
        <w:tabs>
          <w:tab w:val="clear" w:pos="8306"/>
          <w:tab w:val="left" w:pos="720"/>
        </w:tabs>
        <w:spacing w:before="360" w:after="360"/>
        <w:jc w:val="both"/>
        <w:rPr>
          <w:lang w:val="lv-LV"/>
        </w:rPr>
      </w:pPr>
      <w:r w:rsidRPr="00822629">
        <w:rPr>
          <w:lang w:val="lv-LV"/>
        </w:rPr>
        <w:t>Iepirkuma k</w:t>
      </w:r>
      <w:r w:rsidR="00922D0D" w:rsidRPr="00822629">
        <w:rPr>
          <w:lang w:val="lv-LV"/>
        </w:rPr>
        <w:t>omisijas priekšsēdētāja</w:t>
      </w:r>
      <w:r w:rsidR="00922D0D" w:rsidRPr="00822629">
        <w:rPr>
          <w:lang w:val="lv-LV"/>
        </w:rPr>
        <w:tab/>
      </w:r>
      <w:r w:rsidR="00922D0D" w:rsidRPr="00822629">
        <w:rPr>
          <w:lang w:val="lv-LV"/>
        </w:rPr>
        <w:tab/>
      </w:r>
      <w:r w:rsidR="00922D0D" w:rsidRPr="00822629">
        <w:rPr>
          <w:lang w:val="lv-LV"/>
        </w:rPr>
        <w:tab/>
      </w:r>
      <w:r w:rsidR="00922D0D" w:rsidRPr="00822629">
        <w:rPr>
          <w:lang w:val="lv-LV"/>
        </w:rPr>
        <w:tab/>
      </w:r>
      <w:bookmarkStart w:id="0" w:name="_GoBack"/>
      <w:bookmarkEnd w:id="0"/>
      <w:r w:rsidR="00922D0D" w:rsidRPr="00822629">
        <w:rPr>
          <w:lang w:val="lv-LV"/>
        </w:rPr>
        <w:tab/>
      </w:r>
      <w:r w:rsidR="00922D0D" w:rsidRPr="00822629">
        <w:rPr>
          <w:lang w:val="lv-LV"/>
        </w:rPr>
        <w:tab/>
      </w:r>
      <w:r w:rsidR="00922D0D" w:rsidRPr="00822629">
        <w:rPr>
          <w:lang w:val="lv-LV"/>
        </w:rPr>
        <w:tab/>
        <w:t>J.Kornutjaka</w:t>
      </w:r>
    </w:p>
    <w:p w:rsidR="008468A7" w:rsidRPr="00822629" w:rsidRDefault="00A60084" w:rsidP="008468A7">
      <w:pPr>
        <w:pStyle w:val="Header"/>
        <w:tabs>
          <w:tab w:val="clear" w:pos="8306"/>
          <w:tab w:val="left" w:pos="720"/>
        </w:tabs>
        <w:spacing w:before="240"/>
        <w:rPr>
          <w:lang w:val="lv-LV"/>
        </w:rPr>
      </w:pPr>
      <w:r w:rsidRPr="00822629">
        <w:rPr>
          <w:lang w:val="lv-LV"/>
        </w:rPr>
        <w:t>Sagatavoja</w:t>
      </w:r>
      <w:r w:rsidR="008468A7" w:rsidRPr="00822629">
        <w:rPr>
          <w:lang w:val="lv-LV"/>
        </w:rPr>
        <w:t>:</w:t>
      </w:r>
    </w:p>
    <w:p w:rsidR="00922D0D" w:rsidRPr="00822629" w:rsidRDefault="008468A7" w:rsidP="008468A7">
      <w:pPr>
        <w:pStyle w:val="Header"/>
        <w:tabs>
          <w:tab w:val="clear" w:pos="8306"/>
          <w:tab w:val="left" w:pos="720"/>
        </w:tabs>
        <w:spacing w:after="240"/>
        <w:rPr>
          <w:lang w:val="lv-LV"/>
        </w:rPr>
      </w:pPr>
      <w:r w:rsidRPr="00822629">
        <w:rPr>
          <w:lang w:val="lv-LV"/>
        </w:rPr>
        <w:t>Iepirkuma</w:t>
      </w:r>
      <w:r w:rsidR="00A60084" w:rsidRPr="00822629">
        <w:rPr>
          <w:lang w:val="lv-LV"/>
        </w:rPr>
        <w:t xml:space="preserve"> komisijas locekle, protokoli</w:t>
      </w:r>
      <w:r w:rsidR="00E86A80" w:rsidRPr="00822629">
        <w:rPr>
          <w:lang w:val="lv-LV"/>
        </w:rPr>
        <w:t>s</w:t>
      </w:r>
      <w:r w:rsidR="00A60084" w:rsidRPr="00822629">
        <w:rPr>
          <w:lang w:val="lv-LV"/>
        </w:rPr>
        <w:t>te</w:t>
      </w:r>
      <w:r w:rsidR="00922D0D" w:rsidRPr="00822629">
        <w:rPr>
          <w:lang w:val="lv-LV"/>
        </w:rPr>
        <w:t xml:space="preserve"> </w:t>
      </w:r>
      <w:proofErr w:type="spellStart"/>
      <w:r w:rsidR="00A60084" w:rsidRPr="00822629">
        <w:rPr>
          <w:lang w:val="lv-LV"/>
        </w:rPr>
        <w:t>I.Leikuma</w:t>
      </w:r>
      <w:proofErr w:type="spellEnd"/>
      <w:r w:rsidR="00922D0D" w:rsidRPr="00822629">
        <w:rPr>
          <w:lang w:val="lv-LV"/>
        </w:rPr>
        <w:t xml:space="preserve"> </w:t>
      </w:r>
    </w:p>
    <w:p w:rsidR="00FA74DE" w:rsidRPr="000723BD" w:rsidRDefault="00FA74DE" w:rsidP="00FA74DE">
      <w:pPr>
        <w:pStyle w:val="ListParagraph"/>
        <w:spacing w:after="120"/>
        <w:ind w:left="357"/>
        <w:contextualSpacing w:val="0"/>
        <w:rPr>
          <w:sz w:val="23"/>
          <w:szCs w:val="23"/>
          <w:lang w:val="lv-LV"/>
        </w:rPr>
      </w:pPr>
    </w:p>
    <w:sectPr w:rsidR="00FA74DE" w:rsidRPr="000723BD" w:rsidSect="00922D0D">
      <w:footerReference w:type="default" r:id="rId10"/>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4" w:rsidRDefault="006A2E64" w:rsidP="00922D0D">
      <w:r>
        <w:separator/>
      </w:r>
    </w:p>
  </w:endnote>
  <w:endnote w:type="continuationSeparator" w:id="0">
    <w:p w:rsidR="006A2E64" w:rsidRDefault="006A2E64"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21904"/>
      <w:docPartObj>
        <w:docPartGallery w:val="Page Numbers (Bottom of Page)"/>
        <w:docPartUnique/>
      </w:docPartObj>
    </w:sdtPr>
    <w:sdtEndPr>
      <w:rPr>
        <w:noProof/>
      </w:rPr>
    </w:sdtEndPr>
    <w:sdtContent>
      <w:p w:rsidR="00922D0D" w:rsidRDefault="00922D0D">
        <w:pPr>
          <w:pStyle w:val="Footer"/>
          <w:jc w:val="center"/>
        </w:pPr>
        <w:r>
          <w:fldChar w:fldCharType="begin"/>
        </w:r>
        <w:r>
          <w:instrText xml:space="preserve"> PAGE   \* MERGEFORMAT </w:instrText>
        </w:r>
        <w:r>
          <w:fldChar w:fldCharType="separate"/>
        </w:r>
        <w:r w:rsidR="00CA29B2">
          <w:rPr>
            <w:noProof/>
          </w:rPr>
          <w:t>2</w:t>
        </w:r>
        <w:r>
          <w:rPr>
            <w:noProof/>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4" w:rsidRDefault="006A2E64" w:rsidP="00922D0D">
      <w:r>
        <w:separator/>
      </w:r>
    </w:p>
  </w:footnote>
  <w:footnote w:type="continuationSeparator" w:id="0">
    <w:p w:rsidR="006A2E64" w:rsidRDefault="006A2E64"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0CF15F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nsid w:val="539679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545B06"/>
    <w:multiLevelType w:val="multilevel"/>
    <w:tmpl w:val="88EAF108"/>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9"/>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0"/>
    <w:rsid w:val="000363D0"/>
    <w:rsid w:val="000723BD"/>
    <w:rsid w:val="00124ECA"/>
    <w:rsid w:val="00125F19"/>
    <w:rsid w:val="001340F1"/>
    <w:rsid w:val="00137668"/>
    <w:rsid w:val="00186AE7"/>
    <w:rsid w:val="00193C25"/>
    <w:rsid w:val="001B56CB"/>
    <w:rsid w:val="001F709E"/>
    <w:rsid w:val="00202F18"/>
    <w:rsid w:val="00247827"/>
    <w:rsid w:val="00283F50"/>
    <w:rsid w:val="00287F5A"/>
    <w:rsid w:val="002C5C78"/>
    <w:rsid w:val="003003BA"/>
    <w:rsid w:val="00417333"/>
    <w:rsid w:val="004339FE"/>
    <w:rsid w:val="00502CD0"/>
    <w:rsid w:val="00531DD6"/>
    <w:rsid w:val="00535FEB"/>
    <w:rsid w:val="005428E5"/>
    <w:rsid w:val="0055141A"/>
    <w:rsid w:val="005E3CF7"/>
    <w:rsid w:val="00633AD0"/>
    <w:rsid w:val="006A2E64"/>
    <w:rsid w:val="006E3D2C"/>
    <w:rsid w:val="00782D69"/>
    <w:rsid w:val="007E3EB8"/>
    <w:rsid w:val="00822629"/>
    <w:rsid w:val="008407BD"/>
    <w:rsid w:val="008468A7"/>
    <w:rsid w:val="00860390"/>
    <w:rsid w:val="008C3E8B"/>
    <w:rsid w:val="008C6E2E"/>
    <w:rsid w:val="008F0716"/>
    <w:rsid w:val="00910B5E"/>
    <w:rsid w:val="009222BF"/>
    <w:rsid w:val="00922D0D"/>
    <w:rsid w:val="00940429"/>
    <w:rsid w:val="00972142"/>
    <w:rsid w:val="009726BA"/>
    <w:rsid w:val="00972CD2"/>
    <w:rsid w:val="00981795"/>
    <w:rsid w:val="009A69D3"/>
    <w:rsid w:val="00A33E20"/>
    <w:rsid w:val="00A470B0"/>
    <w:rsid w:val="00A501EE"/>
    <w:rsid w:val="00A5705E"/>
    <w:rsid w:val="00A60084"/>
    <w:rsid w:val="00A90C5E"/>
    <w:rsid w:val="00A9126C"/>
    <w:rsid w:val="00AE0372"/>
    <w:rsid w:val="00B2602C"/>
    <w:rsid w:val="00B36760"/>
    <w:rsid w:val="00B9264C"/>
    <w:rsid w:val="00BA3881"/>
    <w:rsid w:val="00BA5A3F"/>
    <w:rsid w:val="00BF6A22"/>
    <w:rsid w:val="00C0190F"/>
    <w:rsid w:val="00C3385F"/>
    <w:rsid w:val="00C53889"/>
    <w:rsid w:val="00CA29B2"/>
    <w:rsid w:val="00CC0D6B"/>
    <w:rsid w:val="00CC3481"/>
    <w:rsid w:val="00CC7CF3"/>
    <w:rsid w:val="00CE4783"/>
    <w:rsid w:val="00D70B78"/>
    <w:rsid w:val="00E10BDC"/>
    <w:rsid w:val="00E41E7B"/>
    <w:rsid w:val="00E86A80"/>
    <w:rsid w:val="00EC52C9"/>
    <w:rsid w:val="00F36C80"/>
    <w:rsid w:val="00F42302"/>
    <w:rsid w:val="00FA74DE"/>
    <w:rsid w:val="00FD7BB8"/>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CC0D6B"/>
    <w:pPr>
      <w:spacing w:before="100" w:beforeAutospacing="1" w:after="100" w:afterAutospacing="1"/>
      <w:jc w:val="both"/>
    </w:pPr>
    <w:rPr>
      <w:rFonts w:eastAsia="Arial Unicode MS"/>
      <w:lang w:val="en-US"/>
    </w:rPr>
  </w:style>
  <w:style w:type="character" w:styleId="Hyperlink">
    <w:name w:val="Hyperlink"/>
    <w:basedOn w:val="DefaultParagraphFont"/>
    <w:uiPriority w:val="99"/>
    <w:unhideWhenUsed/>
    <w:rsid w:val="00E86A80"/>
    <w:rPr>
      <w:color w:val="0000FF"/>
      <w:u w:val="single"/>
    </w:rPr>
  </w:style>
  <w:style w:type="paragraph" w:customStyle="1" w:styleId="StyleStyle2Justified">
    <w:name w:val="Style Style2 + Justified"/>
    <w:basedOn w:val="Normal"/>
    <w:rsid w:val="00E86A80"/>
    <w:pPr>
      <w:numPr>
        <w:numId w:val="6"/>
      </w:numPr>
      <w:tabs>
        <w:tab w:val="left" w:pos="1080"/>
      </w:tabs>
      <w:spacing w:before="240" w:after="120"/>
      <w:jc w:val="both"/>
    </w:pPr>
    <w:rPr>
      <w:szCs w:val="20"/>
      <w:lang w:val="lv-LV"/>
    </w:rPr>
  </w:style>
  <w:style w:type="paragraph" w:customStyle="1" w:styleId="Style">
    <w:name w:val="Style"/>
    <w:rsid w:val="00EC52C9"/>
    <w:pPr>
      <w:widowControl w:val="0"/>
      <w:autoSpaceDE w:val="0"/>
      <w:autoSpaceDN w:val="0"/>
      <w:adjustRightInd w:val="0"/>
    </w:pPr>
    <w:rPr>
      <w:szCs w:val="24"/>
    </w:rPr>
  </w:style>
  <w:style w:type="paragraph" w:styleId="BodyTextIndent">
    <w:name w:val="Body Text Indent"/>
    <w:basedOn w:val="Normal"/>
    <w:link w:val="BodyTextIndentChar"/>
    <w:uiPriority w:val="99"/>
    <w:semiHidden/>
    <w:unhideWhenUsed/>
    <w:rsid w:val="00972142"/>
    <w:pPr>
      <w:spacing w:after="120"/>
      <w:ind w:left="283"/>
    </w:pPr>
  </w:style>
  <w:style w:type="character" w:customStyle="1" w:styleId="BodyTextIndentChar">
    <w:name w:val="Body Text Indent Char"/>
    <w:basedOn w:val="DefaultParagraphFont"/>
    <w:link w:val="BodyTextIndent"/>
    <w:uiPriority w:val="99"/>
    <w:semiHidden/>
    <w:rsid w:val="00972142"/>
    <w:rPr>
      <w:sz w:val="24"/>
      <w:szCs w:val="24"/>
      <w:lang w:val="en-GB"/>
    </w:rPr>
  </w:style>
  <w:style w:type="paragraph" w:customStyle="1" w:styleId="tv2132">
    <w:name w:val="tv2132"/>
    <w:basedOn w:val="Normal"/>
    <w:rsid w:val="008C6E2E"/>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1F709E"/>
    <w:pPr>
      <w:spacing w:after="120"/>
    </w:pPr>
  </w:style>
  <w:style w:type="character" w:customStyle="1" w:styleId="BodyTextChar">
    <w:name w:val="Body Text Char"/>
    <w:basedOn w:val="DefaultParagraphFont"/>
    <w:link w:val="BodyText"/>
    <w:uiPriority w:val="99"/>
    <w:semiHidden/>
    <w:rsid w:val="001F709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CC0D6B"/>
    <w:pPr>
      <w:spacing w:before="100" w:beforeAutospacing="1" w:after="100" w:afterAutospacing="1"/>
      <w:jc w:val="both"/>
    </w:pPr>
    <w:rPr>
      <w:rFonts w:eastAsia="Arial Unicode MS"/>
      <w:lang w:val="en-US"/>
    </w:rPr>
  </w:style>
  <w:style w:type="character" w:styleId="Hyperlink">
    <w:name w:val="Hyperlink"/>
    <w:basedOn w:val="DefaultParagraphFont"/>
    <w:uiPriority w:val="99"/>
    <w:unhideWhenUsed/>
    <w:rsid w:val="00E86A80"/>
    <w:rPr>
      <w:color w:val="0000FF"/>
      <w:u w:val="single"/>
    </w:rPr>
  </w:style>
  <w:style w:type="paragraph" w:customStyle="1" w:styleId="StyleStyle2Justified">
    <w:name w:val="Style Style2 + Justified"/>
    <w:basedOn w:val="Normal"/>
    <w:rsid w:val="00E86A80"/>
    <w:pPr>
      <w:numPr>
        <w:numId w:val="6"/>
      </w:numPr>
      <w:tabs>
        <w:tab w:val="left" w:pos="1080"/>
      </w:tabs>
      <w:spacing w:before="240" w:after="120"/>
      <w:jc w:val="both"/>
    </w:pPr>
    <w:rPr>
      <w:szCs w:val="20"/>
      <w:lang w:val="lv-LV"/>
    </w:rPr>
  </w:style>
  <w:style w:type="paragraph" w:customStyle="1" w:styleId="Style">
    <w:name w:val="Style"/>
    <w:rsid w:val="00EC52C9"/>
    <w:pPr>
      <w:widowControl w:val="0"/>
      <w:autoSpaceDE w:val="0"/>
      <w:autoSpaceDN w:val="0"/>
      <w:adjustRightInd w:val="0"/>
    </w:pPr>
    <w:rPr>
      <w:szCs w:val="24"/>
    </w:rPr>
  </w:style>
  <w:style w:type="paragraph" w:styleId="BodyTextIndent">
    <w:name w:val="Body Text Indent"/>
    <w:basedOn w:val="Normal"/>
    <w:link w:val="BodyTextIndentChar"/>
    <w:uiPriority w:val="99"/>
    <w:semiHidden/>
    <w:unhideWhenUsed/>
    <w:rsid w:val="00972142"/>
    <w:pPr>
      <w:spacing w:after="120"/>
      <w:ind w:left="283"/>
    </w:pPr>
  </w:style>
  <w:style w:type="character" w:customStyle="1" w:styleId="BodyTextIndentChar">
    <w:name w:val="Body Text Indent Char"/>
    <w:basedOn w:val="DefaultParagraphFont"/>
    <w:link w:val="BodyTextIndent"/>
    <w:uiPriority w:val="99"/>
    <w:semiHidden/>
    <w:rsid w:val="00972142"/>
    <w:rPr>
      <w:sz w:val="24"/>
      <w:szCs w:val="24"/>
      <w:lang w:val="en-GB"/>
    </w:rPr>
  </w:style>
  <w:style w:type="paragraph" w:customStyle="1" w:styleId="tv2132">
    <w:name w:val="tv2132"/>
    <w:basedOn w:val="Normal"/>
    <w:rsid w:val="008C6E2E"/>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1F709E"/>
    <w:pPr>
      <w:spacing w:after="120"/>
    </w:pPr>
  </w:style>
  <w:style w:type="character" w:customStyle="1" w:styleId="BodyTextChar">
    <w:name w:val="Body Text Char"/>
    <w:basedOn w:val="DefaultParagraphFont"/>
    <w:link w:val="BodyText"/>
    <w:uiPriority w:val="99"/>
    <w:semiHidden/>
    <w:rsid w:val="001F709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002">
      <w:bodyDiv w:val="1"/>
      <w:marLeft w:val="0"/>
      <w:marRight w:val="0"/>
      <w:marTop w:val="0"/>
      <w:marBottom w:val="0"/>
      <w:divBdr>
        <w:top w:val="none" w:sz="0" w:space="0" w:color="auto"/>
        <w:left w:val="none" w:sz="0" w:space="0" w:color="auto"/>
        <w:bottom w:val="none" w:sz="0" w:space="0" w:color="auto"/>
        <w:right w:val="none" w:sz="0" w:space="0" w:color="auto"/>
      </w:divBdr>
    </w:div>
    <w:div w:id="729766185">
      <w:bodyDiv w:val="1"/>
      <w:marLeft w:val="0"/>
      <w:marRight w:val="0"/>
      <w:marTop w:val="0"/>
      <w:marBottom w:val="0"/>
      <w:divBdr>
        <w:top w:val="none" w:sz="0" w:space="0" w:color="auto"/>
        <w:left w:val="none" w:sz="0" w:space="0" w:color="auto"/>
        <w:bottom w:val="none" w:sz="0" w:space="0" w:color="auto"/>
        <w:right w:val="none" w:sz="0" w:space="0" w:color="auto"/>
      </w:divBdr>
    </w:div>
    <w:div w:id="1092700101">
      <w:bodyDiv w:val="1"/>
      <w:marLeft w:val="0"/>
      <w:marRight w:val="0"/>
      <w:marTop w:val="0"/>
      <w:marBottom w:val="0"/>
      <w:divBdr>
        <w:top w:val="none" w:sz="0" w:space="0" w:color="auto"/>
        <w:left w:val="none" w:sz="0" w:space="0" w:color="auto"/>
        <w:bottom w:val="none" w:sz="0" w:space="0" w:color="auto"/>
        <w:right w:val="none" w:sz="0" w:space="0" w:color="auto"/>
      </w:divBdr>
    </w:div>
    <w:div w:id="1165701645">
      <w:bodyDiv w:val="1"/>
      <w:marLeft w:val="0"/>
      <w:marRight w:val="0"/>
      <w:marTop w:val="0"/>
      <w:marBottom w:val="0"/>
      <w:divBdr>
        <w:top w:val="none" w:sz="0" w:space="0" w:color="auto"/>
        <w:left w:val="none" w:sz="0" w:space="0" w:color="auto"/>
        <w:bottom w:val="none" w:sz="0" w:space="0" w:color="auto"/>
        <w:right w:val="none" w:sz="0" w:space="0" w:color="auto"/>
      </w:divBdr>
    </w:div>
    <w:div w:id="1186941995">
      <w:bodyDiv w:val="1"/>
      <w:marLeft w:val="0"/>
      <w:marRight w:val="0"/>
      <w:marTop w:val="0"/>
      <w:marBottom w:val="0"/>
      <w:divBdr>
        <w:top w:val="none" w:sz="0" w:space="0" w:color="auto"/>
        <w:left w:val="none" w:sz="0" w:space="0" w:color="auto"/>
        <w:bottom w:val="none" w:sz="0" w:space="0" w:color="auto"/>
        <w:right w:val="none" w:sz="0" w:space="0" w:color="auto"/>
      </w:divBdr>
    </w:div>
    <w:div w:id="1560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ga.leikum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14500</Words>
  <Characters>8265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Bartuls</dc:creator>
  <cp:lastModifiedBy>Ilga Leikuma</cp:lastModifiedBy>
  <cp:revision>14</cp:revision>
  <cp:lastPrinted>2017-07-10T12:42:00Z</cp:lastPrinted>
  <dcterms:created xsi:type="dcterms:W3CDTF">2017-04-27T19:38:00Z</dcterms:created>
  <dcterms:modified xsi:type="dcterms:W3CDTF">2017-08-01T05:19:00Z</dcterms:modified>
</cp:coreProperties>
</file>