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5" w:rsidRPr="00E40A3C" w:rsidRDefault="00AF20A5" w:rsidP="00A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bookmarkStart w:id="0" w:name="_GoBack"/>
      <w:bookmarkEnd w:id="0"/>
      <w:r w:rsidRPr="00E40A3C">
        <w:rPr>
          <w:rFonts w:ascii="Times New Roman" w:hAnsi="Times New Roman" w:cs="Times New Roman"/>
          <w:b/>
          <w:bCs/>
          <w:sz w:val="28"/>
          <w:szCs w:val="24"/>
          <w:lang w:val="lv-LV"/>
        </w:rPr>
        <w:t>TEHNISKĀ SPECIFIKĀCIJA</w:t>
      </w:r>
    </w:p>
    <w:p w:rsidR="00AF20A5" w:rsidRPr="00E40A3C" w:rsidRDefault="00AF20A5" w:rsidP="00A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Būvprojekta „Daugavpils cietokšņa Pulvera noliktavas restaurācija un pieguļošās teritorijas labiekārtošana</w:t>
      </w:r>
      <w:r w:rsidR="00F413A8">
        <w:rPr>
          <w:rFonts w:ascii="Times New Roman" w:hAnsi="Times New Roman" w:cs="Times New Roman"/>
          <w:b/>
          <w:bCs/>
          <w:sz w:val="24"/>
          <w:szCs w:val="24"/>
          <w:lang w:val="lv-LV"/>
        </w:rPr>
        <w:t>. I kārta</w:t>
      </w: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būvekspertīze</w:t>
      </w:r>
    </w:p>
    <w:p w:rsidR="00AF20A5" w:rsidRPr="00E40A3C" w:rsidRDefault="00AF20A5" w:rsidP="00A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1. Projekta un cenu izpētes konteksts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1.1. Pasūtītājs veic cenu izpēti, lai iepirktu Pakalpojumu – “Būvprojekta 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>„Daugavpils cietokšņa Pulvera noliktavas restaurācija un pieguļošās teritorijas labiekārtošana</w:t>
      </w:r>
      <w:r w:rsidR="00F413A8">
        <w:rPr>
          <w:rFonts w:ascii="Times New Roman" w:hAnsi="Times New Roman" w:cs="Times New Roman"/>
          <w:bCs/>
          <w:sz w:val="24"/>
          <w:szCs w:val="24"/>
          <w:lang w:val="lv-LV"/>
        </w:rPr>
        <w:t>. I kārta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ekspertīze” ar mērķi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veikt būvprojekta ekspertīzi atbilstoši 19.08.2014. Ministru kabineta noteikumu Nr.500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„Vispārīgie būvnoteikumi”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un 02.09.2014. Ministru kabineta noteikumu Nr.529 „Ēku būvnoteikumi”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prasībām.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1.2. Pakalpojums ietver būvprojektā ietverto tehnisko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risinājumu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finanšu un tehnisko ekspertīzi: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1.2.1.1. Izvērtēt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būvprojekta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atbilstību LBN un citiem normatīvajiem aktiem;</w:t>
      </w:r>
    </w:p>
    <w:p w:rsidR="00AF20A5" w:rsidRPr="00E40A3C" w:rsidRDefault="00AF20A5" w:rsidP="006B53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1.2.1.2. Izvērtēt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būvprojekta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risinājumu atbilstību 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Būvatļaujas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nosacījumiem, attiecī</w:t>
      </w:r>
      <w:r w:rsidR="00E33259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go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institūciju izsniegto tehnisko noteikumu un projektēšanas uzdevuma prasībām.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2. Ekspertīzes galvenais uzdevums</w:t>
      </w:r>
    </w:p>
    <w:p w:rsidR="00D57846" w:rsidRPr="00E40A3C" w:rsidRDefault="00D0610D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 Izvērtēt pilna</w:t>
      </w:r>
      <w:r w:rsidR="00AF20A5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būvprojekta</w:t>
      </w:r>
      <w:r w:rsidR="00AF20A5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atbilstību LBN un citiem normatīvajiem aktiem</w:t>
      </w:r>
      <w:r w:rsidR="00D57846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šādām būvprojekta daļām un sadaļām:</w:t>
      </w:r>
    </w:p>
    <w:p w:rsidR="00AF20A5" w:rsidRPr="00E40A3C" w:rsidRDefault="00D57846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- arhitektūras daļai,</w:t>
      </w:r>
    </w:p>
    <w:p w:rsidR="00D57846" w:rsidRPr="00E40A3C" w:rsidRDefault="00D57846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- būvkonstrukciju sadaļai,</w:t>
      </w:r>
    </w:p>
    <w:p w:rsidR="00D57846" w:rsidRPr="00E40A3C" w:rsidRDefault="00D57846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E40A3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- </w:t>
      </w:r>
      <w:r w:rsidRPr="00E40A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ekonomiskajai daļai, izvērtējot būvizstrādājumu izvēles ekonomisko pamatojumu saskaņā ar projektēšanas uzdevumu, kā arī izmaksās iekļauto darba pozīciju pietiekamību,</w:t>
      </w:r>
    </w:p>
    <w:p w:rsidR="00D57846" w:rsidRPr="00E40A3C" w:rsidRDefault="00D57846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E40A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- ugunsdrošības pasākumu pārskatam, kā arī citu būvprojekta sadaļu ugunsdrošības risinājumiem</w:t>
      </w:r>
    </w:p>
    <w:p w:rsidR="00D57846" w:rsidRPr="00E40A3C" w:rsidRDefault="00D57846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E40A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- darba organizēšanas projektam.</w:t>
      </w:r>
    </w:p>
    <w:p w:rsidR="00AF20A5" w:rsidRPr="00E40A3C" w:rsidRDefault="00AF20A5" w:rsidP="006B53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2.2. Izvērtēt pilnu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risinājumu atbilstību 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Būvatļaujas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nosacījumiem,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izsniegto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tehnisko noteikumu un projektēšanas uzdevuma prasībām,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tajā skaitā atbilstību Pasūtītāja izvirzītajiem principiem.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3. Ekspertīzes papildus uzdevumi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Veicot ekspertīzi,</w:t>
      </w:r>
      <w:r w:rsidR="00E33259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Pasūtītājs uzdod Izpildītājam pievērst īpašu uzmanību norādītajiem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jautājumiem un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risinājumiem, kā arī ekspertīzes atzinumā aprakstīt katra šī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jautājuma un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projekta risinājuma nepilnības un iespējamos riskus: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3.1. Pasūtītāja aizsardzība projekta risinājumos no iespējamām problēmām, uzsākot un veicot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būvdarbus, nododot objektu ekspluatācijā un lietojot to, tai skaitā iespējamie riski sūdzību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iesniegšanai vai pretenziju izvirzīšanai no pašvaldības, darbu inspicējošo iestāžu, apkārtējo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iedzīvotāju puses;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3.2. Pārbaudīt, vai būvdarbu veikšanas process ir organizēts tādā veidā, lai netiek pārkāpti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Latvijas Republikas normatīvie akti, projektēšanas uzdevums, kā arī nesatur risinājumus, kas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nav saskaņoti attiecīgajās instancēs normatīvajos aktos paredzētajā kārtībā;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3.3. Veikt izvēlēto būvkonstrukciju risinājumu pārbaudi uz nestspēju un būvkonstrukciju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risinājumu pārbaudi kopumā;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3.4. Izvērtēt projekta risinājumu atbilstību spēkā esošiem ugunsdrošības normatīviem;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3.5. Izvērtēt projekta risinājumu atbilstību spēkā esošām higiēnas prasībām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. Izvērtēt projekta risinājumu atbilstību vides pieejamībai personām ar funkcionāliem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traucējumiem.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. Izvērtēt, vai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būvprojekta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dokumentācija ir pilnīga, lai veiktu būvniecības (tajā skaitā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restaurācijas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) konkursu visam objektam. Pārbaudīt, vai dokumentācijā ir iekļauta visa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informācija, kas nepieciešama būvniecības (tajā skaitā 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restaurācijas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) konkursa rīkošanai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būvdarbu uzsākšanai;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. Noteikt, vai darbu apjomi ir skaidri identificējami un objekta nodošana ekspluatācijā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iespējama;</w:t>
      </w:r>
    </w:p>
    <w:p w:rsidR="00AF20A5" w:rsidRPr="00E40A3C" w:rsidRDefault="00AF20A5" w:rsidP="006B53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lastRenderedPageBreak/>
        <w:t>3.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. Izvērtēt, vai visi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būvprojektā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iekļautie risinājumi attiecībā uz ēku ekspluatācijai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nepieciešamajiem publiskajiem pakalpojumiem (elektrības, ūdens, siltuma, kanalizācijas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u.c.) ir p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ietiekami un atbilstoši to apjoma un jaudas ziņā.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4. Pretendenta sniedzamā Pakalpojuma rezultāti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4.1. Izvērtēta pilnu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atbilstība LBN un citiem normatīvajiem aktiem;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4.2. Izvērtēta pilnu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risinājumu atbilstība attiecīgo institūciju izsniegto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Būvatļaujas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nosacījumu,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tehnisko noteikumu un projektēšanas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uzdevuma prasībām, kā arī vides pieejamības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principiem personām ar funkcionāliem traucējumiem.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4.3. Pakalpojuma sniegšanas gaitā un rezultātā pretendents nodrošina pilnīgu un detalizētu,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LR normatīvo aktu prasībām atbilstošu, kvalitatīvu, savlaicīgu finanšu un tehniskās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ekspertīzes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atzinuma sagatavošanu un iesniegšanu Pasūtītājam, kas ļauj Pasūtītājam veikt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saskaņošanu ar attiecīgajiem projektētājiem, lai nodrošinātu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būvprojekta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akceptēšanu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atbilstošās institūcijās.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4.4. Balstoties uz ekspertīzes laikā veiktajām pārbaudēm un to rezultātiem, atbilstoši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definētajam ekspertīzes galvenajam uzdevumam un papildus uzdevumiem, izstrādāts un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iesniegts Pasūtītājam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>būvprojektu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finanšu un tehniskās ekspertīzes atzinumu 3 (trīs)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drukātos eksemplāros un 3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(trīs) digitālos datu nesējos.</w:t>
      </w:r>
    </w:p>
    <w:p w:rsidR="00AF20A5" w:rsidRPr="00E40A3C" w:rsidRDefault="00AF20A5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4.5.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Pakalpojuma sniegšanas gaitu, veiktos uzdevumus, sasniegtos rezultātus jāapkopo</w:t>
      </w:r>
      <w:r w:rsidR="006B53C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Pakalpojuma sniegšanas detalizētā atskaitē, kas jāiesniedz Pasūtītājam.</w:t>
      </w:r>
    </w:p>
    <w:p w:rsidR="00E33259" w:rsidRPr="00E40A3C" w:rsidRDefault="00E33259" w:rsidP="006B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5. Pasūtītāja rīcībā esošā dokumentācija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5.1. Būvprojekts „Daugavpils cietokšņa Pulvera noliktavas restaurācija un piegoļošās infrastruktūras labiekārtošana</w:t>
      </w:r>
      <w:r w:rsidR="00F413A8">
        <w:rPr>
          <w:rFonts w:ascii="Times New Roman" w:hAnsi="Times New Roman" w:cs="Times New Roman"/>
          <w:sz w:val="24"/>
          <w:szCs w:val="24"/>
          <w:lang w:val="lv-LV"/>
        </w:rPr>
        <w:t>. I kārta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5.2. Arhitektoniski mākslinieciskā inventarizācija „Daugavpils cietokšņa pulvera noliktava / pagrabs Nikolaja iela 1”.</w:t>
      </w:r>
    </w:p>
    <w:p w:rsidR="00123E4E" w:rsidRPr="00E40A3C" w:rsidRDefault="00123E4E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5.3. Būvatļauja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bCs/>
          <w:sz w:val="24"/>
          <w:szCs w:val="24"/>
          <w:lang w:val="lv-LV"/>
        </w:rPr>
        <w:t>6. Vispārējas ziņas par būvobjektu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6.1. Ēkas tehniski ekonomiskie rādītāji:</w:t>
      </w:r>
    </w:p>
    <w:p w:rsidR="00E33259" w:rsidRPr="00E40A3C" w:rsidRDefault="00E33259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Ēkas kopējā platība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587,30 m2</w:t>
      </w:r>
    </w:p>
    <w:p w:rsidR="00E33259" w:rsidRPr="00E40A3C" w:rsidRDefault="00E33259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Būvtilpums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4210 m3</w:t>
      </w:r>
    </w:p>
    <w:p w:rsidR="00E33259" w:rsidRPr="00E40A3C" w:rsidRDefault="00E33259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Stāvu skaits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1 </w:t>
      </w:r>
    </w:p>
    <w:p w:rsidR="00123E4E" w:rsidRPr="00E40A3C" w:rsidRDefault="00123E4E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Labiekārtojama zemes gabala platība ~ 4000 m2</w:t>
      </w:r>
    </w:p>
    <w:p w:rsidR="00E33259" w:rsidRPr="00E40A3C" w:rsidRDefault="00123E4E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Inženierbūves grupa – II</w:t>
      </w:r>
    </w:p>
    <w:p w:rsidR="00123E4E" w:rsidRPr="00E40A3C" w:rsidRDefault="00123E4E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Inženierbūves paredzētais lietošanas veids – 1273 </w:t>
      </w:r>
    </w:p>
    <w:p w:rsidR="00E33259" w:rsidRPr="00E40A3C" w:rsidRDefault="00E33259" w:rsidP="00CC1D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Vietējās nozīmes arhitektūras piemineklis Nr.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>4690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6.2.</w:t>
      </w:r>
      <w:r w:rsidR="00123E4E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 Ēkas būvniecības mērķis ir ēkas restaurācija un pielāgošana Daugavpils M.Rotko mākslas centra multifunkcionālajam izstāžu kompleksam. </w:t>
      </w:r>
    </w:p>
    <w:p w:rsidR="00E33259" w:rsidRPr="00E40A3C" w:rsidRDefault="00E33259" w:rsidP="00E3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F20A5" w:rsidRPr="00E40A3C" w:rsidRDefault="00CC1DE8" w:rsidP="00CC1DE8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sz w:val="24"/>
          <w:szCs w:val="24"/>
          <w:lang w:val="lv-LV"/>
        </w:rPr>
        <w:t>7. Prasības pretendentam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7.1. Pakalpojuma sniegšanai pretendents piedāvā kvalificētu ekspertu grupu, kas kopumā atbilst visām Specifikācijā noteiktajām kvalifikācijas minimālajām prasībām, kuru vada ekspertu grupas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vadītājs. Minimālās kvalifikācijas prasības Pakalpojuma sniegšanai: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7.1.1. Augstākā izglītība būvniecības vai citā atbilstošā specialitātē;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7.1.2. Ir atbilstoša kvalifikācija ēku un to konstrukciju projektēšanas, ūdensapgādes un kanalizācijas sistēmu projektēšanas, elektroietaišu un elektr</w:t>
      </w:r>
      <w:r w:rsidR="00D57846"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oapgādes sistēmu projektēšanas,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ekonomikas un izmaksu kalkulāciju veikšanas jomā ar spēkā esošām tiesībām veikt </w:t>
      </w:r>
      <w:r w:rsidR="00D0610D">
        <w:rPr>
          <w:rFonts w:ascii="Times New Roman" w:hAnsi="Times New Roman" w:cs="Times New Roman"/>
          <w:sz w:val="24"/>
          <w:szCs w:val="24"/>
          <w:lang w:val="lv-LV"/>
        </w:rPr>
        <w:t xml:space="preserve">būvprojektu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t>ekspertīzi saskaņā ar LR būvniecības nozari regulējošiem tiesību aktiem.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 xml:space="preserve">7.2. Pēdējo trīs gadu laikā pretendentam ir pieredze cenu aptaujas priekšmetam līdzīga rakstura pakalpojumu sniegšanā: būvprojektu ekspertīzes veikšanā, tai skaitā vismaz 3 (trīs) sabiedriski nozīmīgām būvēm, kas par tādām ir atzītas saskaņā ar MK noteikumiem Nr.500 “Vispārīgie </w:t>
      </w:r>
      <w:r w:rsidRPr="00E40A3C">
        <w:rPr>
          <w:rFonts w:ascii="Times New Roman" w:hAnsi="Times New Roman" w:cs="Times New Roman"/>
          <w:sz w:val="24"/>
          <w:szCs w:val="24"/>
          <w:lang w:val="lv-LV"/>
        </w:rPr>
        <w:lastRenderedPageBreak/>
        <w:t>būvnoteikumi”, un šie pakalpojumi ir sniegti atbilstoši normatīvo aktu prasībām un ir pienācīgi pabeigti.</w:t>
      </w:r>
    </w:p>
    <w:p w:rsidR="00E40A3C" w:rsidRPr="00E40A3C" w:rsidRDefault="00E40A3C" w:rsidP="00E4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7.3. Atbilstoši Ministru kabineta 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Pr="00E40A3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08.2014. noteikumiem Nr.502 „</w:t>
      </w:r>
      <w:r w:rsidRPr="00E40A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Noteikumi par būvspeciālistu un būvdarbu veicēju civiltiesiskās atbildības obligāto apdrošināšanu</w:t>
      </w:r>
      <w:r w:rsidRPr="00E40A3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00E40A3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</w:t>
      </w:r>
      <w:r w:rsidRPr="00E40A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irms būvprojekta ekspertīzes veikšanas būvspeciālistam, kas veiks būvprojekta ekspertīzes vadītāja pienākumus, vai būvkomersantam, kas nodarbina konkrēto būvspeciālistu, jānoslēdz būvspeciālista apdrošināšanas līgums. Minētais līgums jāuztur spēkā visu būvdarbu un garantijas laiku.</w:t>
      </w:r>
    </w:p>
    <w:p w:rsidR="00CC1DE8" w:rsidRPr="00E40A3C" w:rsidRDefault="00CC1DE8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C1DE8" w:rsidRPr="00E40A3C" w:rsidRDefault="00CC1DE8" w:rsidP="00CC1DE8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sz w:val="24"/>
          <w:szCs w:val="24"/>
          <w:lang w:val="lv-LV"/>
        </w:rPr>
        <w:t>8. Iesniedzami dokumenti</w:t>
      </w:r>
    </w:p>
    <w:p w:rsidR="00CC1DE8" w:rsidRPr="00E40A3C" w:rsidRDefault="00CC1DE8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8.1. Finanšu piedāvājums (1. pielikums)</w:t>
      </w:r>
    </w:p>
    <w:p w:rsidR="00CC1DE8" w:rsidRDefault="00CC1DE8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8.2. Tehniskais piedāvājums (2. pielikums)</w:t>
      </w:r>
    </w:p>
    <w:p w:rsidR="00074330" w:rsidRDefault="00074330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8.3. </w:t>
      </w:r>
      <w:r w:rsidR="00F413A8">
        <w:rPr>
          <w:rFonts w:ascii="Times New Roman" w:hAnsi="Times New Roman" w:cs="Times New Roman"/>
          <w:sz w:val="24"/>
          <w:szCs w:val="24"/>
          <w:lang w:val="lv-LV"/>
        </w:rPr>
        <w:t>Būvkomersanta reģistrācijas apliecības kopija</w:t>
      </w:r>
    </w:p>
    <w:p w:rsidR="00F413A8" w:rsidRPr="00E40A3C" w:rsidRDefault="00F413A8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8.4. Iesaistīta personāla (ekspertu) CV, izglītības dokumentu un sertifikātu/apliecību kopijas</w:t>
      </w:r>
    </w:p>
    <w:p w:rsidR="009C5CD2" w:rsidRPr="00E40A3C" w:rsidRDefault="009C5CD2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C5CD2" w:rsidRPr="00E40A3C" w:rsidRDefault="009C5CD2" w:rsidP="00CC1DE8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/>
          <w:sz w:val="24"/>
          <w:szCs w:val="24"/>
          <w:lang w:val="lv-LV"/>
        </w:rPr>
        <w:t>9. Ekspertīzes veikšanas termiņš</w:t>
      </w:r>
    </w:p>
    <w:p w:rsidR="009C5CD2" w:rsidRPr="00E40A3C" w:rsidRDefault="009C5CD2" w:rsidP="00CC1DE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t>9.1. Ekspertīzes atskaite ir jāiesniedz pasūtītājam 6 nedēļu laikā no līguma parakstīšanas dienas.</w:t>
      </w:r>
    </w:p>
    <w:p w:rsidR="00D57846" w:rsidRPr="00E40A3C" w:rsidRDefault="00D5784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CC1DE8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i/>
          <w:sz w:val="24"/>
          <w:szCs w:val="24"/>
          <w:lang w:val="lv-LV"/>
        </w:rPr>
        <w:lastRenderedPageBreak/>
        <w:t>1. pielikums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>TEHNISKAJAI SPECIFIKĀCIJAI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Būvprojekta „Daugavpils cietokšņa Pulvera noliktavas 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>restaurācija un pieguļošās teritorijas labiekārtošana” būvekspertīze</w:t>
      </w:r>
    </w:p>
    <w:p w:rsidR="00D57846" w:rsidRPr="00E40A3C" w:rsidRDefault="00D57846" w:rsidP="00D5784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D57846" w:rsidRPr="00E40A3C" w:rsidRDefault="00D57846" w:rsidP="00D578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FINANŠU PIEDĀVĀJUM</w:t>
      </w:r>
      <w:r w:rsidR="00E40A3C"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S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D57846" w:rsidRPr="00E40A3C" w:rsidRDefault="00D57846" w:rsidP="00D57846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Daugavpils pilsētas domei 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Pretendents: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Citi uzņēmēji (uz kuru iespējām konkrētā līguma izpildei balstās Pretendents)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Pretendents </w:t>
      </w:r>
      <w:r w:rsidR="00BE0F2A"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_________ </w:t>
      </w:r>
      <w:r w:rsidRPr="00E40A3C">
        <w:rPr>
          <w:rFonts w:ascii="Times New Roman" w:eastAsia="Calibri" w:hAnsi="Times New Roman" w:cs="Times New Roman"/>
          <w:i/>
          <w:iCs/>
          <w:sz w:val="24"/>
          <w:szCs w:val="24"/>
          <w:lang w:val="lv-LV" w:eastAsia="lv-LV"/>
        </w:rPr>
        <w:t xml:space="preserve">(nosaukums)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piedāvā nodrošināt pakalpojumu atbilstoši Cenu aptaujas </w:t>
      </w:r>
      <w:r w:rsidRPr="00E40A3C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/>
        </w:rPr>
        <w:t>pa</w:t>
      </w:r>
      <w:r w:rsidRPr="00E40A3C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r b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>ūvprojekta „Daugavpils cietokšņa Pulvera noliktavas restaurācija un pieguļošās teritorijas labiekārtošana</w:t>
      </w:r>
      <w:r w:rsidR="00F413A8">
        <w:rPr>
          <w:rFonts w:ascii="Times New Roman" w:hAnsi="Times New Roman" w:cs="Times New Roman"/>
          <w:bCs/>
          <w:sz w:val="24"/>
          <w:szCs w:val="24"/>
          <w:lang w:val="lv-LV"/>
        </w:rPr>
        <w:t>. I kārta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” būvekspertīzi </w:t>
      </w:r>
      <w:r w:rsidRPr="00E40A3C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Tehniskajai specifikācijai par šādu summu:</w:t>
      </w:r>
    </w:p>
    <w:p w:rsidR="00D57846" w:rsidRPr="00E40A3C" w:rsidRDefault="00D57846" w:rsidP="00D57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69"/>
        <w:gridCol w:w="1354"/>
        <w:gridCol w:w="1368"/>
        <w:gridCol w:w="1430"/>
      </w:tblGrid>
      <w:tr w:rsidR="00D57846" w:rsidRPr="00E40A3C" w:rsidTr="00E23E0E">
        <w:trPr>
          <w:jc w:val="center"/>
        </w:trPr>
        <w:tc>
          <w:tcPr>
            <w:tcW w:w="630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169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1354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Cena bez PVN, EUR</w:t>
            </w:r>
          </w:p>
        </w:tc>
        <w:tc>
          <w:tcPr>
            <w:tcW w:w="1368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PVN __%, EUR</w:t>
            </w:r>
          </w:p>
        </w:tc>
        <w:tc>
          <w:tcPr>
            <w:tcW w:w="1430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Kopā ar PVN, EUR</w:t>
            </w:r>
          </w:p>
        </w:tc>
      </w:tr>
      <w:tr w:rsidR="00D57846" w:rsidRPr="00F413A8" w:rsidTr="00E23E0E">
        <w:trPr>
          <w:jc w:val="center"/>
        </w:trPr>
        <w:tc>
          <w:tcPr>
            <w:tcW w:w="630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169" w:type="dxa"/>
          </w:tcPr>
          <w:p w:rsidR="00D57846" w:rsidRPr="00E40A3C" w:rsidRDefault="00BE0F2A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Būvprojekta </w:t>
            </w:r>
            <w:r w:rsidRPr="00E40A3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„Daugavpils cietokšņa Pulvera noliktavas restaurācija un pieguļošās teritorijas labiekārtošana</w:t>
            </w:r>
            <w:r w:rsidR="00F413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 I kārta</w:t>
            </w:r>
            <w:r w:rsidRPr="00E40A3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”  </w:t>
            </w:r>
            <w:r w:rsidRPr="00E4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ekspertīze </w:t>
            </w:r>
          </w:p>
        </w:tc>
        <w:tc>
          <w:tcPr>
            <w:tcW w:w="1354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8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30" w:type="dxa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57846" w:rsidRPr="00F413A8" w:rsidTr="00E23E0E">
        <w:trPr>
          <w:jc w:val="center"/>
        </w:trPr>
        <w:tc>
          <w:tcPr>
            <w:tcW w:w="630" w:type="dxa"/>
            <w:vAlign w:val="center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69" w:type="dxa"/>
            <w:vAlign w:val="center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D57846" w:rsidRPr="00E40A3C" w:rsidRDefault="00BE0F2A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30" w:type="dxa"/>
            <w:vAlign w:val="center"/>
          </w:tcPr>
          <w:p w:rsidR="00D57846" w:rsidRPr="00E40A3C" w:rsidRDefault="00D57846" w:rsidP="00D57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Pretendenta nosaukums: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Reģistrēts _________________________ (kur, kad, reģistrācijas Nr.)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Nodokļu maksātāja reģistrācijas Nr. ______________ .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Būvkomersanta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reģistrācijas Nr. ______________ .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Juridiskā adrese: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 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Bankas rekvizīti: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Kontaktpersonas vārds, uzvārds: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Tālrunis: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Fakss: 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E-pasta adrese: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Tīmekļa vietnes adrese: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Datums</w:t>
      </w:r>
    </w:p>
    <w:p w:rsidR="00D57846" w:rsidRPr="00E40A3C" w:rsidRDefault="00D57846" w:rsidP="00D578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Pretendenta vai tā pilnvarotās personas paraksts, tā atšifrējums, zīmogs (ja ir)</w:t>
      </w:r>
    </w:p>
    <w:p w:rsidR="00D57846" w:rsidRPr="00E40A3C" w:rsidRDefault="00D57846" w:rsidP="00D5784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D57846" w:rsidRPr="00E40A3C" w:rsidRDefault="00D5784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i/>
          <w:sz w:val="24"/>
          <w:szCs w:val="24"/>
          <w:lang w:val="lv-LV"/>
        </w:rPr>
        <w:lastRenderedPageBreak/>
        <w:t>2. pielikums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>TEHNISKAJAI SPECIFIKĀCIJAI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Būvprojekta „Daugavpils cietokšņa Pulvera noliktavas </w:t>
      </w:r>
    </w:p>
    <w:p w:rsidR="00D57846" w:rsidRPr="00E40A3C" w:rsidRDefault="00D57846" w:rsidP="00D5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E40A3C">
        <w:rPr>
          <w:rFonts w:ascii="Times New Roman" w:hAnsi="Times New Roman" w:cs="Times New Roman"/>
          <w:bCs/>
          <w:i/>
          <w:sz w:val="24"/>
          <w:szCs w:val="24"/>
          <w:lang w:val="lv-LV"/>
        </w:rPr>
        <w:t>restaurācija un pieguļošās teritorijas labiekārtošana” būvekspertīze</w:t>
      </w:r>
    </w:p>
    <w:p w:rsidR="00D57846" w:rsidRPr="00E40A3C" w:rsidRDefault="00D57846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TEHNISK</w:t>
      </w:r>
      <w:r w:rsidR="00E40A3C"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AIS</w:t>
      </w:r>
      <w:r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 xml:space="preserve"> PIEDĀVĀJUM</w:t>
      </w:r>
      <w:r w:rsidR="00E40A3C" w:rsidRPr="00E40A3C"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S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Daugavpils pilsētas domei 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Pretendents: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Citi uzņēmēji (uz kuru iespējām konkrētā līguma izpildei balstās Pretendents)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Pretendents _____________ </w:t>
      </w:r>
      <w:r w:rsidRPr="00E40A3C">
        <w:rPr>
          <w:rFonts w:ascii="Times New Roman" w:eastAsia="Calibri" w:hAnsi="Times New Roman" w:cs="Times New Roman"/>
          <w:i/>
          <w:iCs/>
          <w:sz w:val="24"/>
          <w:szCs w:val="24"/>
          <w:lang w:val="lv-LV" w:eastAsia="lv-LV"/>
        </w:rPr>
        <w:t xml:space="preserve">(nosaukums)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piedāvā nodrošināt pakalpojumu atbilstoši Cenu aptaujas </w:t>
      </w:r>
      <w:r w:rsidRPr="00E40A3C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/>
        </w:rPr>
        <w:t>pa</w:t>
      </w:r>
      <w:r w:rsidRPr="00E40A3C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r b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>ūvprojekta „Daugavpils cietokšņa Pulvera noliktavas restaurācija un pieguļošās teritorijas labiekārtošana</w:t>
      </w:r>
      <w:r w:rsidR="00F413A8">
        <w:rPr>
          <w:rFonts w:ascii="Times New Roman" w:hAnsi="Times New Roman" w:cs="Times New Roman"/>
          <w:bCs/>
          <w:sz w:val="24"/>
          <w:szCs w:val="24"/>
          <w:lang w:val="lv-LV"/>
        </w:rPr>
        <w:t>. I kārta</w:t>
      </w:r>
      <w:r w:rsidRPr="00E40A3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” būvekspertīzi </w:t>
      </w:r>
      <w:r w:rsidRPr="00E40A3C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Tehniskajai specifikācijai ar šādu personālu: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45"/>
        <w:gridCol w:w="2933"/>
        <w:gridCol w:w="2129"/>
      </w:tblGrid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Eksperta vādrs, uzvārds</w:t>
            </w: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Izglītība</w:t>
            </w: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Sertifikāta Nr., derīguma termiņš</w:t>
            </w:r>
          </w:p>
        </w:tc>
      </w:tr>
      <w:tr w:rsidR="00BE0F2A" w:rsidRPr="00E40A3C" w:rsidTr="00BE0F2A">
        <w:trPr>
          <w:jc w:val="center"/>
        </w:trPr>
        <w:tc>
          <w:tcPr>
            <w:tcW w:w="8837" w:type="dxa"/>
            <w:gridSpan w:val="4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Eksperts arhitektūras daļai</w:t>
            </w:r>
          </w:p>
        </w:tc>
      </w:tr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rPr>
          <w:jc w:val="center"/>
        </w:trPr>
        <w:tc>
          <w:tcPr>
            <w:tcW w:w="8837" w:type="dxa"/>
            <w:gridSpan w:val="4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Eksperts </w:t>
            </w:r>
            <w:r w:rsidRPr="00E40A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būvkonstrukciju sadaļai</w:t>
            </w:r>
          </w:p>
        </w:tc>
      </w:tr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rPr>
          <w:jc w:val="center"/>
        </w:trPr>
        <w:tc>
          <w:tcPr>
            <w:tcW w:w="8837" w:type="dxa"/>
            <w:gridSpan w:val="4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Eksperts ekonomiskajai daļai</w:t>
            </w:r>
          </w:p>
        </w:tc>
      </w:tr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rPr>
          <w:jc w:val="center"/>
        </w:trPr>
        <w:tc>
          <w:tcPr>
            <w:tcW w:w="8837" w:type="dxa"/>
            <w:gridSpan w:val="4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Eksperts </w:t>
            </w:r>
            <w:r w:rsidRPr="00E40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ugunsdrošības pasākumu pārskatam</w:t>
            </w:r>
          </w:p>
        </w:tc>
      </w:tr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rPr>
          <w:jc w:val="center"/>
        </w:trPr>
        <w:tc>
          <w:tcPr>
            <w:tcW w:w="8837" w:type="dxa"/>
            <w:gridSpan w:val="4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Eksperts darba organizēšanas projektam</w:t>
            </w:r>
          </w:p>
        </w:tc>
      </w:tr>
      <w:tr w:rsidR="00BE0F2A" w:rsidRPr="00E40A3C" w:rsidTr="00BE0F2A">
        <w:trPr>
          <w:jc w:val="center"/>
        </w:trPr>
        <w:tc>
          <w:tcPr>
            <w:tcW w:w="630" w:type="dxa"/>
          </w:tcPr>
          <w:p w:rsidR="00BE0F2A" w:rsidRPr="00E40A3C" w:rsidRDefault="00BE0F2A" w:rsidP="00E23E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145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2933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9" w:type="dxa"/>
            <w:vAlign w:val="center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/>
        </w:rPr>
        <w:t>Pretendentam ___________ (nosaukums) ir pieredze būvprojektu ekspertīzes veikšānā šādiem būvprojektiem</w:t>
      </w:r>
      <w:r w:rsidR="006972FB" w:rsidRPr="00E40A3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pēdējo trīs gadu laikā</w:t>
      </w:r>
      <w:r w:rsidRPr="00E40A3C">
        <w:rPr>
          <w:rFonts w:ascii="Times New Roman" w:eastAsia="Calibri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5506"/>
        <w:gridCol w:w="3190"/>
      </w:tblGrid>
      <w:tr w:rsidR="00BE0F2A" w:rsidRPr="00E40A3C" w:rsidTr="00BE0F2A">
        <w:tc>
          <w:tcPr>
            <w:tcW w:w="55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50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Būvprojekta nosaukums</w:t>
            </w:r>
            <w:r w:rsidR="006972FB"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, būvekspertīzes veikšanas gads</w:t>
            </w:r>
          </w:p>
        </w:tc>
        <w:tc>
          <w:tcPr>
            <w:tcW w:w="3190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Pasūtītājs, kontaktinformācija </w:t>
            </w:r>
          </w:p>
        </w:tc>
      </w:tr>
      <w:tr w:rsidR="00BE0F2A" w:rsidRPr="00E40A3C" w:rsidTr="00BE0F2A">
        <w:tc>
          <w:tcPr>
            <w:tcW w:w="55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0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90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c>
          <w:tcPr>
            <w:tcW w:w="55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0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90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0F2A" w:rsidRPr="00E40A3C" w:rsidTr="00BE0F2A">
        <w:tc>
          <w:tcPr>
            <w:tcW w:w="55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40A3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06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90" w:type="dxa"/>
          </w:tcPr>
          <w:p w:rsidR="00BE0F2A" w:rsidRPr="00E40A3C" w:rsidRDefault="00BE0F2A" w:rsidP="00BE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Pretendenta nosaukums: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Reģistrēts _________________________ (kur, kad, reģistrācijas Nr.)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Nodokļu maksātāja reģistrācijas Nr. ______________ .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Būvkomersanta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reģistrācijas Nr. ______________ .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Juridiskā adrese: 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 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Bankas rekvizīti: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Kontaktpersonas vārds, uzvārds: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Tālrunis: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Fakss: 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E-pasta adrese:</w:t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E40A3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Tīmekļa vietnes adrese: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Datums</w:t>
      </w:r>
    </w:p>
    <w:p w:rsidR="00BE0F2A" w:rsidRPr="00E40A3C" w:rsidRDefault="00BE0F2A" w:rsidP="00BE0F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E40A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Pretendenta vai tā pilnvarotās personas paraksts, tā atšifrējums, zīmogs (ja ir)</w:t>
      </w:r>
    </w:p>
    <w:p w:rsidR="00D57846" w:rsidRPr="00E40A3C" w:rsidRDefault="00D57846" w:rsidP="00C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57846" w:rsidRPr="00E40A3C" w:rsidSect="00AF2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5"/>
    <w:rsid w:val="0002195C"/>
    <w:rsid w:val="00074330"/>
    <w:rsid w:val="00123E4E"/>
    <w:rsid w:val="001551A2"/>
    <w:rsid w:val="002D167B"/>
    <w:rsid w:val="00437478"/>
    <w:rsid w:val="00470157"/>
    <w:rsid w:val="00611EDF"/>
    <w:rsid w:val="00647B33"/>
    <w:rsid w:val="0068382F"/>
    <w:rsid w:val="006972FB"/>
    <w:rsid w:val="006B53CE"/>
    <w:rsid w:val="008F6E0E"/>
    <w:rsid w:val="009C5CD2"/>
    <w:rsid w:val="009C60B0"/>
    <w:rsid w:val="00AF20A5"/>
    <w:rsid w:val="00BE0F2A"/>
    <w:rsid w:val="00C5492C"/>
    <w:rsid w:val="00CC1DE8"/>
    <w:rsid w:val="00D0610D"/>
    <w:rsid w:val="00D57846"/>
    <w:rsid w:val="00E25ABB"/>
    <w:rsid w:val="00E33259"/>
    <w:rsid w:val="00E40A3C"/>
    <w:rsid w:val="00F413A8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A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A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A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A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A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A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A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A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A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A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A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A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A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A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5A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A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A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5ABB"/>
    <w:rPr>
      <w:b/>
      <w:bCs/>
    </w:rPr>
  </w:style>
  <w:style w:type="character" w:styleId="Emphasis">
    <w:name w:val="Emphasis"/>
    <w:uiPriority w:val="20"/>
    <w:qFormat/>
    <w:rsid w:val="00E25A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5A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A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A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A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A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ABB"/>
    <w:rPr>
      <w:b/>
      <w:bCs/>
      <w:i/>
      <w:iCs/>
    </w:rPr>
  </w:style>
  <w:style w:type="character" w:styleId="SubtleEmphasis">
    <w:name w:val="Subtle Emphasis"/>
    <w:uiPriority w:val="19"/>
    <w:qFormat/>
    <w:rsid w:val="00E25ABB"/>
    <w:rPr>
      <w:i/>
      <w:iCs/>
    </w:rPr>
  </w:style>
  <w:style w:type="character" w:styleId="IntenseEmphasis">
    <w:name w:val="Intense Emphasis"/>
    <w:uiPriority w:val="21"/>
    <w:qFormat/>
    <w:rsid w:val="00E25ABB"/>
    <w:rPr>
      <w:b/>
      <w:bCs/>
    </w:rPr>
  </w:style>
  <w:style w:type="character" w:styleId="SubtleReference">
    <w:name w:val="Subtle Reference"/>
    <w:uiPriority w:val="31"/>
    <w:qFormat/>
    <w:rsid w:val="00E25ABB"/>
    <w:rPr>
      <w:smallCaps/>
    </w:rPr>
  </w:style>
  <w:style w:type="character" w:styleId="IntenseReference">
    <w:name w:val="Intense Reference"/>
    <w:uiPriority w:val="32"/>
    <w:qFormat/>
    <w:rsid w:val="00E25ABB"/>
    <w:rPr>
      <w:smallCaps/>
      <w:spacing w:val="5"/>
      <w:u w:val="single"/>
    </w:rPr>
  </w:style>
  <w:style w:type="character" w:styleId="BookTitle">
    <w:name w:val="Book Title"/>
    <w:uiPriority w:val="33"/>
    <w:qFormat/>
    <w:rsid w:val="00E25A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ABB"/>
    <w:pPr>
      <w:outlineLvl w:val="9"/>
    </w:pPr>
  </w:style>
  <w:style w:type="table" w:styleId="TableGrid">
    <w:name w:val="Table Grid"/>
    <w:basedOn w:val="TableNormal"/>
    <w:uiPriority w:val="59"/>
    <w:rsid w:val="00BE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A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A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A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A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A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A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A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A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A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A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A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A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A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A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5A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A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A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5ABB"/>
    <w:rPr>
      <w:b/>
      <w:bCs/>
    </w:rPr>
  </w:style>
  <w:style w:type="character" w:styleId="Emphasis">
    <w:name w:val="Emphasis"/>
    <w:uiPriority w:val="20"/>
    <w:qFormat/>
    <w:rsid w:val="00E25A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5A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A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A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A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A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ABB"/>
    <w:rPr>
      <w:b/>
      <w:bCs/>
      <w:i/>
      <w:iCs/>
    </w:rPr>
  </w:style>
  <w:style w:type="character" w:styleId="SubtleEmphasis">
    <w:name w:val="Subtle Emphasis"/>
    <w:uiPriority w:val="19"/>
    <w:qFormat/>
    <w:rsid w:val="00E25ABB"/>
    <w:rPr>
      <w:i/>
      <w:iCs/>
    </w:rPr>
  </w:style>
  <w:style w:type="character" w:styleId="IntenseEmphasis">
    <w:name w:val="Intense Emphasis"/>
    <w:uiPriority w:val="21"/>
    <w:qFormat/>
    <w:rsid w:val="00E25ABB"/>
    <w:rPr>
      <w:b/>
      <w:bCs/>
    </w:rPr>
  </w:style>
  <w:style w:type="character" w:styleId="SubtleReference">
    <w:name w:val="Subtle Reference"/>
    <w:uiPriority w:val="31"/>
    <w:qFormat/>
    <w:rsid w:val="00E25ABB"/>
    <w:rPr>
      <w:smallCaps/>
    </w:rPr>
  </w:style>
  <w:style w:type="character" w:styleId="IntenseReference">
    <w:name w:val="Intense Reference"/>
    <w:uiPriority w:val="32"/>
    <w:qFormat/>
    <w:rsid w:val="00E25ABB"/>
    <w:rPr>
      <w:smallCaps/>
      <w:spacing w:val="5"/>
      <w:u w:val="single"/>
    </w:rPr>
  </w:style>
  <w:style w:type="character" w:styleId="BookTitle">
    <w:name w:val="Book Title"/>
    <w:uiPriority w:val="33"/>
    <w:qFormat/>
    <w:rsid w:val="00E25A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ABB"/>
    <w:pPr>
      <w:outlineLvl w:val="9"/>
    </w:pPr>
  </w:style>
  <w:style w:type="table" w:styleId="TableGrid">
    <w:name w:val="Table Grid"/>
    <w:basedOn w:val="TableNormal"/>
    <w:uiPriority w:val="59"/>
    <w:rsid w:val="00BE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Anatolijs Krivins</cp:lastModifiedBy>
  <cp:revision>2</cp:revision>
  <dcterms:created xsi:type="dcterms:W3CDTF">2015-11-17T08:31:00Z</dcterms:created>
  <dcterms:modified xsi:type="dcterms:W3CDTF">2015-11-17T08:31:00Z</dcterms:modified>
</cp:coreProperties>
</file>