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22" w:rsidRPr="00A3750B" w:rsidRDefault="00A3750B" w:rsidP="00A3750B">
      <w:pPr>
        <w:rPr>
          <w:rFonts w:cs="Times New Roman"/>
          <w:b/>
          <w:sz w:val="20"/>
          <w:szCs w:val="20"/>
          <w:lang w:val="lv-LV"/>
        </w:rPr>
      </w:pPr>
      <w:bookmarkStart w:id="0" w:name="_GoBack"/>
      <w:r w:rsidRPr="00A3750B">
        <w:rPr>
          <w:rFonts w:cs="Times New Roman"/>
          <w:b/>
          <w:noProof/>
          <w:sz w:val="20"/>
          <w:szCs w:val="20"/>
        </w:rPr>
        <w:drawing>
          <wp:inline distT="0" distB="0" distL="0" distR="0" wp14:anchorId="7F52860E" wp14:editId="1BEDC5F1">
            <wp:extent cx="5943600" cy="1228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sf_rgb_0.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228725"/>
                    </a:xfrm>
                    <a:prstGeom prst="rect">
                      <a:avLst/>
                    </a:prstGeom>
                  </pic:spPr>
                </pic:pic>
              </a:graphicData>
            </a:graphic>
          </wp:inline>
        </w:drawing>
      </w:r>
      <w:bookmarkEnd w:id="0"/>
    </w:p>
    <w:p w:rsidR="00FC1422" w:rsidRDefault="00FC1422" w:rsidP="00FC1422">
      <w:pPr>
        <w:jc w:val="both"/>
        <w:rPr>
          <w:rFonts w:cs="Times New Roman"/>
          <w:b/>
          <w:sz w:val="20"/>
          <w:szCs w:val="20"/>
          <w:lang w:val="lv-LV"/>
        </w:rPr>
      </w:pPr>
      <w:r>
        <w:rPr>
          <w:rFonts w:cs="Times New Roman"/>
          <w:b/>
          <w:sz w:val="20"/>
          <w:szCs w:val="20"/>
          <w:lang w:val="lv-LV"/>
        </w:rPr>
        <w:t>Jaunatnes starptautisko programmu aģentūra 2014.gada septembrī uzsākusi Eiropas Savienības fondu 2014.-2020.gada plānošanas perioda darbības programmas „Izaugsme un nodarbinātība” 8.3.3. specifiskā atbalsta mērķa (SAM) „Attīstīt NVA nereģistrēto NEET jauniešu prasmes un veicināt to iesaisti izglītībā, NVA īstenotājos pasākumos Jauniešu garantijas ietvaros un nevalstisko organizāciju vai jauniešu centru darbībā” projekta „PROTI un DARI!” īstenošanu.</w:t>
      </w:r>
    </w:p>
    <w:p w:rsidR="00E9020A" w:rsidRPr="00A3750B" w:rsidRDefault="004F1EDB" w:rsidP="00A3750B">
      <w:pPr>
        <w:rPr>
          <w:rFonts w:cs="Times New Roman"/>
          <w:b/>
          <w:sz w:val="20"/>
          <w:szCs w:val="20"/>
          <w:lang w:val="lv-LV"/>
        </w:rPr>
      </w:pPr>
      <w:r w:rsidRPr="00A3750B">
        <w:rPr>
          <w:rFonts w:cs="Times New Roman"/>
          <w:b/>
          <w:sz w:val="20"/>
          <w:szCs w:val="20"/>
          <w:lang w:val="lv-LV"/>
        </w:rPr>
        <w:t>PROJEKTA MĒRĶIS</w:t>
      </w:r>
    </w:p>
    <w:p w:rsidR="004F1EDB" w:rsidRPr="00A3750B" w:rsidRDefault="004F1EDB" w:rsidP="00A3750B">
      <w:pPr>
        <w:rPr>
          <w:rFonts w:cs="Times New Roman"/>
          <w:sz w:val="20"/>
          <w:szCs w:val="20"/>
          <w:lang w:val="lv-LV"/>
        </w:rPr>
      </w:pPr>
      <w:r w:rsidRPr="00A3750B">
        <w:rPr>
          <w:rFonts w:cs="Times New Roman"/>
          <w:sz w:val="20"/>
          <w:szCs w:val="20"/>
          <w:lang w:val="lv-LV"/>
        </w:rPr>
        <w:t>Projekta mērķis ir attīstīt mērķa grupas jauniešu prasmes un veicināt viņu iesaisti izglītībā, tai skaitā aroda apguvē pie amata meistara, Nodarbinātības valsts aģentūras (NVA) vai Valsts izglītības attīstības aģentūras (VIAA) īstenotajos Jauniešu garantijas projektu pasākumos vai Nodarbinātības valsts aģentūras īstenotajos aktīvajos nodarbinātības vai preventīvajos bezdarba samazināšanas pasākumos, kā arī nevalstisko organizāciju vai jauniešu centru darbībā.</w:t>
      </w:r>
    </w:p>
    <w:p w:rsidR="004F1EDB" w:rsidRPr="00A3750B" w:rsidRDefault="004F1EDB" w:rsidP="00A3750B">
      <w:pPr>
        <w:rPr>
          <w:rFonts w:cs="Times New Roman"/>
          <w:b/>
          <w:sz w:val="20"/>
          <w:szCs w:val="20"/>
          <w:lang w:val="lv-LV"/>
        </w:rPr>
      </w:pPr>
      <w:r w:rsidRPr="00A3750B">
        <w:rPr>
          <w:rFonts w:cs="Times New Roman"/>
          <w:b/>
          <w:sz w:val="20"/>
          <w:szCs w:val="20"/>
          <w:lang w:val="lv-LV"/>
        </w:rPr>
        <w:t>PROJEKTA MĒRĶA GRUPA</w:t>
      </w:r>
    </w:p>
    <w:p w:rsidR="004F1EDB" w:rsidRPr="00A3750B" w:rsidRDefault="004F1EDB" w:rsidP="00A3750B">
      <w:pPr>
        <w:rPr>
          <w:rFonts w:cs="Times New Roman"/>
          <w:sz w:val="20"/>
          <w:szCs w:val="20"/>
          <w:lang w:val="lv-LV"/>
        </w:rPr>
      </w:pPr>
      <w:r w:rsidRPr="00A3750B">
        <w:rPr>
          <w:rFonts w:cs="Times New Roman"/>
          <w:sz w:val="20"/>
          <w:szCs w:val="20"/>
          <w:lang w:val="lv-LV"/>
        </w:rPr>
        <w:t>Projekta "PROTI un DARI!" mērķa grupa ir jaunieši vecumā no 15 līdz 29 gadiem (ieskaitot), kuri nemācās, nestrādā, neapgūst arodu nav reģistrēti Nodarbinātības valsts aģentūrā (NVA) kā bezdarbnieki.</w:t>
      </w:r>
    </w:p>
    <w:p w:rsidR="004F1EDB" w:rsidRPr="00A3750B" w:rsidRDefault="004F1EDB" w:rsidP="00A3750B">
      <w:pPr>
        <w:rPr>
          <w:rFonts w:cs="Times New Roman"/>
          <w:b/>
          <w:sz w:val="20"/>
          <w:szCs w:val="20"/>
          <w:lang w:val="lv-LV"/>
        </w:rPr>
      </w:pPr>
      <w:r w:rsidRPr="00A3750B">
        <w:rPr>
          <w:rFonts w:cs="Times New Roman"/>
          <w:b/>
          <w:sz w:val="20"/>
          <w:szCs w:val="20"/>
          <w:lang w:val="lv-LV"/>
        </w:rPr>
        <w:t>PROJEKTA ĪSTENOTĀJI</w:t>
      </w:r>
    </w:p>
    <w:p w:rsidR="004F1EDB" w:rsidRPr="00A3750B" w:rsidRDefault="004F1EDB" w:rsidP="00A3750B">
      <w:pPr>
        <w:rPr>
          <w:rFonts w:cs="Times New Roman"/>
          <w:sz w:val="20"/>
          <w:szCs w:val="20"/>
          <w:lang w:val="lv-LV"/>
        </w:rPr>
      </w:pPr>
      <w:r w:rsidRPr="00A3750B">
        <w:rPr>
          <w:rFonts w:cs="Times New Roman"/>
          <w:sz w:val="20"/>
          <w:szCs w:val="20"/>
          <w:lang w:val="lv-LV"/>
        </w:rPr>
        <w:t xml:space="preserve">Jaunatnes starptautisko programmu aģentūra (JSPA) ir finansējuma saņēmējs un projektu īsteno sadarbībā ar </w:t>
      </w:r>
      <w:r w:rsidRPr="00A3750B">
        <w:rPr>
          <w:rFonts w:cs="Times New Roman"/>
          <w:sz w:val="20"/>
          <w:szCs w:val="20"/>
          <w:lang w:val="lv-LV"/>
        </w:rPr>
        <w:t>Daugavpils pilsētas</w:t>
      </w:r>
      <w:r w:rsidRPr="00A3750B">
        <w:rPr>
          <w:rFonts w:cs="Times New Roman"/>
          <w:sz w:val="20"/>
          <w:szCs w:val="20"/>
          <w:lang w:val="lv-LV"/>
        </w:rPr>
        <w:t xml:space="preserve"> </w:t>
      </w:r>
      <w:r w:rsidRPr="00A3750B">
        <w:rPr>
          <w:rFonts w:cs="Times New Roman"/>
          <w:sz w:val="20"/>
          <w:szCs w:val="20"/>
          <w:lang w:val="lv-LV"/>
        </w:rPr>
        <w:t>pašvaldību</w:t>
      </w:r>
      <w:r w:rsidRPr="00A3750B">
        <w:rPr>
          <w:rFonts w:cs="Times New Roman"/>
          <w:sz w:val="20"/>
          <w:szCs w:val="20"/>
          <w:lang w:val="lv-LV"/>
        </w:rPr>
        <w:t xml:space="preserve">, </w:t>
      </w:r>
      <w:r w:rsidRPr="00A3750B">
        <w:rPr>
          <w:rFonts w:cs="Times New Roman"/>
          <w:sz w:val="20"/>
          <w:szCs w:val="20"/>
          <w:lang w:val="lv-LV"/>
        </w:rPr>
        <w:t>stratēģiskā partnerībā ar Daugavpils Sociālo dienestu</w:t>
      </w:r>
      <w:r w:rsidRPr="00A3750B">
        <w:rPr>
          <w:rFonts w:cs="Times New Roman"/>
          <w:sz w:val="20"/>
          <w:szCs w:val="20"/>
          <w:lang w:val="lv-LV"/>
        </w:rPr>
        <w:t>.</w:t>
      </w:r>
      <w:r w:rsidRPr="00A3750B">
        <w:rPr>
          <w:rFonts w:cs="Times New Roman"/>
          <w:sz w:val="20"/>
          <w:szCs w:val="20"/>
          <w:lang w:val="lv-LV"/>
        </w:rPr>
        <w:br/>
      </w:r>
      <w:r w:rsidRPr="00A3750B">
        <w:rPr>
          <w:rFonts w:cs="Times New Roman"/>
          <w:sz w:val="20"/>
          <w:szCs w:val="20"/>
          <w:lang w:val="lv-LV"/>
        </w:rPr>
        <w:br/>
      </w:r>
      <w:r w:rsidRPr="00A3750B">
        <w:rPr>
          <w:rFonts w:cs="Times New Roman"/>
          <w:b/>
          <w:sz w:val="20"/>
          <w:szCs w:val="20"/>
          <w:lang w:val="lv-LV"/>
        </w:rPr>
        <w:t>PROJEKTA IETVAROS ATBALSTĀMAS DARBĪBAS (Pašvaldības)</w:t>
      </w:r>
    </w:p>
    <w:p w:rsidR="00A3750B" w:rsidRPr="00A3750B" w:rsidRDefault="004F1EDB" w:rsidP="00A3750B">
      <w:pPr>
        <w:rPr>
          <w:rFonts w:cs="Times New Roman"/>
          <w:b/>
          <w:bCs/>
          <w:i/>
          <w:sz w:val="20"/>
          <w:szCs w:val="20"/>
          <w:lang w:val="lv-LV"/>
        </w:rPr>
      </w:pPr>
      <w:r w:rsidRPr="00A3750B">
        <w:rPr>
          <w:rStyle w:val="Strong"/>
          <w:rFonts w:ascii="Arial" w:hAnsi="Arial" w:cs="Arial"/>
          <w:i/>
          <w:sz w:val="20"/>
          <w:szCs w:val="20"/>
          <w:lang w:val="lv-LV"/>
        </w:rPr>
        <w:t>►</w:t>
      </w:r>
      <w:r w:rsidRPr="00A3750B">
        <w:rPr>
          <w:rStyle w:val="Strong"/>
          <w:rFonts w:cs="Times New Roman"/>
          <w:i/>
          <w:sz w:val="20"/>
          <w:szCs w:val="20"/>
          <w:lang w:val="lv-LV"/>
        </w:rPr>
        <w:t xml:space="preserve"> </w:t>
      </w:r>
      <w:r w:rsidRPr="00A3750B">
        <w:rPr>
          <w:rStyle w:val="Strong"/>
          <w:rFonts w:cs="Times New Roman"/>
          <w:i/>
          <w:sz w:val="20"/>
          <w:szCs w:val="20"/>
          <w:lang w:val="lv-LV"/>
        </w:rPr>
        <w:t>mērķa grupas jauniešu iesaiste projektā:</w:t>
      </w:r>
      <w:r w:rsidRPr="00A3750B">
        <w:rPr>
          <w:rFonts w:cs="Times New Roman"/>
          <w:i/>
          <w:sz w:val="20"/>
          <w:szCs w:val="20"/>
          <w:lang w:val="lv-LV"/>
        </w:rPr>
        <w:br/>
      </w:r>
      <w:r w:rsidRPr="00A3750B">
        <w:rPr>
          <w:rFonts w:cs="Times New Roman"/>
          <w:sz w:val="20"/>
          <w:szCs w:val="20"/>
          <w:lang w:val="lv-LV"/>
        </w:rPr>
        <w:t xml:space="preserve">1. mērķa grupas jaunieša uzrunāšana un konsultēšana, </w:t>
      </w:r>
      <w:proofErr w:type="spellStart"/>
      <w:r w:rsidRPr="00A3750B">
        <w:rPr>
          <w:rFonts w:cs="Times New Roman"/>
          <w:sz w:val="20"/>
          <w:szCs w:val="20"/>
          <w:lang w:val="lv-LV"/>
        </w:rPr>
        <w:t>t.i</w:t>
      </w:r>
      <w:proofErr w:type="spellEnd"/>
      <w:r w:rsidRPr="00A3750B">
        <w:rPr>
          <w:rFonts w:cs="Times New Roman"/>
          <w:sz w:val="20"/>
          <w:szCs w:val="20"/>
          <w:lang w:val="lv-LV"/>
        </w:rPr>
        <w:t>.:</w:t>
      </w:r>
      <w:r w:rsidRPr="00A3750B">
        <w:rPr>
          <w:rFonts w:cs="Times New Roman"/>
          <w:sz w:val="20"/>
          <w:szCs w:val="20"/>
          <w:lang w:val="lv-LV"/>
        </w:rPr>
        <w:br/>
        <w:t>-    mērķa grupas jaunieša sākotnējā motivēšana iesaistīties projektā un individuālās pasākumu programmas īstenošanā;</w:t>
      </w:r>
      <w:r w:rsidRPr="00A3750B">
        <w:rPr>
          <w:rFonts w:cs="Times New Roman"/>
          <w:sz w:val="20"/>
          <w:szCs w:val="20"/>
          <w:lang w:val="lv-LV"/>
        </w:rPr>
        <w:br/>
        <w:t>-    informācijas sniegšana mērķa grupas jaunietim par dalību projektā;</w:t>
      </w:r>
      <w:r w:rsidRPr="00A3750B">
        <w:rPr>
          <w:rFonts w:cs="Times New Roman"/>
          <w:sz w:val="20"/>
          <w:szCs w:val="20"/>
          <w:lang w:val="lv-LV"/>
        </w:rPr>
        <w:br/>
        <w:t xml:space="preserve">-    jaunieša atbilstības </w:t>
      </w:r>
      <w:r w:rsidR="00A3750B" w:rsidRPr="00A3750B">
        <w:rPr>
          <w:rFonts w:cs="Times New Roman"/>
          <w:sz w:val="20"/>
          <w:szCs w:val="20"/>
          <w:lang w:val="lv-LV"/>
        </w:rPr>
        <w:t>pārbaude projekta mērķa grupai;</w:t>
      </w:r>
      <w:r w:rsidRPr="00A3750B">
        <w:rPr>
          <w:rFonts w:cs="Times New Roman"/>
          <w:sz w:val="20"/>
          <w:szCs w:val="20"/>
          <w:lang w:val="lv-LV"/>
        </w:rPr>
        <w:br/>
        <w:t>2. mērķa grupas jaunieša profilēšana un konsultēšana:</w:t>
      </w:r>
      <w:r w:rsidRPr="00A3750B">
        <w:rPr>
          <w:rFonts w:cs="Times New Roman"/>
          <w:sz w:val="20"/>
          <w:szCs w:val="20"/>
          <w:lang w:val="lv-LV"/>
        </w:rPr>
        <w:br/>
        <w:t>-    individuāla mērķa grupas jaunieša profilēšana atbilstoši JSPA izstrādātajām metodoloģiskajām vadlīnijām;</w:t>
      </w:r>
      <w:r w:rsidRPr="00A3750B">
        <w:rPr>
          <w:rFonts w:cs="Times New Roman"/>
          <w:sz w:val="20"/>
          <w:szCs w:val="20"/>
          <w:lang w:val="lv-LV"/>
        </w:rPr>
        <w:br/>
        <w:t>-    mērķa grupas jaunieša profilēšanas rezultātu analīze un tās aprakstīšana mērķa grupas jaunieša kartē, mērķ</w:t>
      </w:r>
      <w:r w:rsidR="00A3750B" w:rsidRPr="00A3750B">
        <w:rPr>
          <w:rFonts w:cs="Times New Roman"/>
          <w:sz w:val="20"/>
          <w:szCs w:val="20"/>
          <w:lang w:val="lv-LV"/>
        </w:rPr>
        <w:t>a grupas jaunieša konsultēšana;</w:t>
      </w:r>
      <w:r w:rsidRPr="00A3750B">
        <w:rPr>
          <w:rFonts w:cs="Times New Roman"/>
          <w:sz w:val="20"/>
          <w:szCs w:val="20"/>
          <w:lang w:val="lv-LV"/>
        </w:rPr>
        <w:br/>
        <w:t>3. mērķa grupas jaunieša individuālās pasākumu programmas izstrāde vai karjeras konsultācija:</w:t>
      </w:r>
      <w:r w:rsidRPr="00A3750B">
        <w:rPr>
          <w:rFonts w:cs="Times New Roman"/>
          <w:sz w:val="20"/>
          <w:szCs w:val="20"/>
          <w:lang w:val="lv-LV"/>
        </w:rPr>
        <w:br/>
        <w:t>-    individuālās pasākumu programmas izstrāde, ņemot vērā profilēšanas rezultātus un tās aprakstīšanu mērķa grupas jaunieša kartē;</w:t>
      </w:r>
      <w:r w:rsidRPr="00A3750B">
        <w:rPr>
          <w:rFonts w:cs="Times New Roman"/>
          <w:sz w:val="20"/>
          <w:szCs w:val="20"/>
          <w:lang w:val="lv-LV"/>
        </w:rPr>
        <w:br/>
        <w:t xml:space="preserve">-    vienošanās sagatavošana par mērķa grupas jaunieša dalību individuālās pasākumu programmas īstenošanā </w:t>
      </w:r>
      <w:r w:rsidRPr="00A3750B">
        <w:rPr>
          <w:rFonts w:cs="Times New Roman"/>
          <w:sz w:val="20"/>
          <w:szCs w:val="20"/>
          <w:lang w:val="lv-LV"/>
        </w:rPr>
        <w:lastRenderedPageBreak/>
        <w:t>projekta ietvaros un abpusēja tā</w:t>
      </w:r>
      <w:r w:rsidR="006A22DF">
        <w:rPr>
          <w:rFonts w:cs="Times New Roman"/>
          <w:sz w:val="20"/>
          <w:szCs w:val="20"/>
          <w:lang w:val="lv-LV"/>
        </w:rPr>
        <w:t>s parakstīšana;</w:t>
      </w:r>
      <w:r w:rsidRPr="00A3750B">
        <w:rPr>
          <w:rFonts w:cs="Times New Roman"/>
          <w:sz w:val="20"/>
          <w:szCs w:val="20"/>
          <w:lang w:val="lv-LV"/>
        </w:rPr>
        <w:br/>
        <w:t>4.  mērķa grupas jaunieša karjeras konsultācijas virzībai uz VIAA vai NVA īstenotajiem Jauniešu garantijas projekta pasākumiem, ja jaunietis pēc profilēšanas un konsultācijām ar programmas vadītāju ir gatavs nekavējoties tajos iesaistīties</w:t>
      </w:r>
      <w:r w:rsidR="00A3750B" w:rsidRPr="00A3750B">
        <w:rPr>
          <w:rFonts w:cs="Times New Roman"/>
          <w:sz w:val="20"/>
          <w:szCs w:val="20"/>
          <w:lang w:val="lv-LV"/>
        </w:rPr>
        <w:t>;</w:t>
      </w:r>
      <w:r w:rsidRPr="00A3750B">
        <w:rPr>
          <w:rFonts w:cs="Times New Roman"/>
          <w:sz w:val="20"/>
          <w:szCs w:val="20"/>
          <w:lang w:val="lv-LV"/>
        </w:rPr>
        <w:br/>
      </w:r>
      <w:r w:rsidRPr="00A3750B">
        <w:rPr>
          <w:rStyle w:val="Strong"/>
          <w:rFonts w:ascii="Arial" w:hAnsi="Arial" w:cs="Arial"/>
          <w:i/>
          <w:sz w:val="20"/>
          <w:szCs w:val="20"/>
          <w:lang w:val="lv-LV"/>
        </w:rPr>
        <w:t>►</w:t>
      </w:r>
      <w:r w:rsidRPr="00A3750B">
        <w:rPr>
          <w:rStyle w:val="Strong"/>
          <w:rFonts w:cs="Times New Roman"/>
          <w:i/>
          <w:sz w:val="20"/>
          <w:szCs w:val="20"/>
          <w:lang w:val="lv-LV"/>
        </w:rPr>
        <w:t xml:space="preserve"> </w:t>
      </w:r>
      <w:r w:rsidRPr="00A3750B">
        <w:rPr>
          <w:rStyle w:val="Strong"/>
          <w:rFonts w:cs="Times New Roman"/>
          <w:i/>
          <w:sz w:val="20"/>
          <w:szCs w:val="20"/>
          <w:lang w:val="lv-LV"/>
        </w:rPr>
        <w:t>atbalsta pasākumu sniegšana mērķa grupas jauniešiem saskaņā ar mērķa grupas jauniešu individuālajām pasākumu programmām.</w:t>
      </w:r>
    </w:p>
    <w:p w:rsidR="004F1EDB" w:rsidRPr="00A3750B" w:rsidRDefault="004F1EDB" w:rsidP="00A3750B">
      <w:pPr>
        <w:rPr>
          <w:rFonts w:cs="Times New Roman"/>
          <w:b/>
          <w:sz w:val="20"/>
          <w:szCs w:val="20"/>
          <w:lang w:val="lv-LV"/>
        </w:rPr>
      </w:pPr>
      <w:r w:rsidRPr="00A3750B">
        <w:rPr>
          <w:rFonts w:cs="Times New Roman"/>
          <w:b/>
          <w:sz w:val="20"/>
          <w:szCs w:val="20"/>
          <w:lang w:val="lv-LV"/>
        </w:rPr>
        <w:t>ATBALSTĀMAS DARBĪBAS (JSPA)</w:t>
      </w:r>
    </w:p>
    <w:p w:rsidR="004F1EDB" w:rsidRPr="00A3750B" w:rsidRDefault="004F1EDB" w:rsidP="00A3750B">
      <w:pPr>
        <w:rPr>
          <w:rFonts w:cs="Times New Roman"/>
          <w:i/>
          <w:sz w:val="20"/>
          <w:szCs w:val="20"/>
          <w:lang w:val="lv-LV"/>
        </w:rPr>
      </w:pPr>
      <w:r w:rsidRPr="00A3750B">
        <w:rPr>
          <w:rStyle w:val="Strong"/>
          <w:rFonts w:ascii="Arial" w:hAnsi="Arial" w:cs="Arial"/>
          <w:i/>
          <w:sz w:val="20"/>
          <w:szCs w:val="20"/>
          <w:lang w:val="lv-LV"/>
        </w:rPr>
        <w:t>►</w:t>
      </w:r>
      <w:r w:rsidRPr="00A3750B">
        <w:rPr>
          <w:rStyle w:val="Strong"/>
          <w:rFonts w:cs="Times New Roman"/>
          <w:i/>
          <w:sz w:val="20"/>
          <w:szCs w:val="20"/>
          <w:lang w:val="lv-LV"/>
        </w:rPr>
        <w:t xml:space="preserve"> </w:t>
      </w:r>
      <w:r w:rsidRPr="00A3750B">
        <w:rPr>
          <w:rStyle w:val="Strong"/>
          <w:rFonts w:cs="Times New Roman"/>
          <w:i/>
          <w:sz w:val="20"/>
          <w:szCs w:val="20"/>
          <w:lang w:val="lv-LV"/>
        </w:rPr>
        <w:t>metodoloģiskā atbalsta sniegšana sadarbības partneriem visos projekta īstenošanas posmos:</w:t>
      </w:r>
      <w:r w:rsidRPr="00A3750B">
        <w:rPr>
          <w:rFonts w:cs="Times New Roman"/>
          <w:i/>
          <w:sz w:val="20"/>
          <w:szCs w:val="20"/>
          <w:lang w:val="lv-LV"/>
        </w:rPr>
        <w:br/>
      </w:r>
      <w:r w:rsidRPr="00A3750B">
        <w:rPr>
          <w:rFonts w:cs="Times New Roman"/>
          <w:sz w:val="20"/>
          <w:szCs w:val="20"/>
          <w:lang w:val="lv-LV"/>
        </w:rPr>
        <w:t>-    metodoloģisko vadlīniju izstrāde darbam ar mērķa grupas jauniešiem;</w:t>
      </w:r>
      <w:r w:rsidRPr="00A3750B">
        <w:rPr>
          <w:rFonts w:cs="Times New Roman"/>
          <w:sz w:val="20"/>
          <w:szCs w:val="20"/>
          <w:lang w:val="lv-LV"/>
        </w:rPr>
        <w:br/>
        <w:t>-    informatīvo pasākumu organizēšana sadarbības partneriem par projekta īstenošanas jautājumiem;</w:t>
      </w:r>
      <w:r w:rsidRPr="00A3750B">
        <w:rPr>
          <w:rFonts w:cs="Times New Roman"/>
          <w:sz w:val="20"/>
          <w:szCs w:val="20"/>
          <w:lang w:val="lv-LV"/>
        </w:rPr>
        <w:br/>
        <w:t xml:space="preserve">-    mācību satura izstrāde, mācību nodrošināšana programmu vadītājiem, mērķa grupas jauniešu </w:t>
      </w:r>
      <w:proofErr w:type="spellStart"/>
      <w:r w:rsidRPr="00A3750B">
        <w:rPr>
          <w:rFonts w:cs="Times New Roman"/>
          <w:sz w:val="20"/>
          <w:szCs w:val="20"/>
          <w:lang w:val="lv-LV"/>
        </w:rPr>
        <w:t>mentoriem</w:t>
      </w:r>
      <w:proofErr w:type="spellEnd"/>
      <w:r w:rsidRPr="00A3750B">
        <w:rPr>
          <w:rFonts w:cs="Times New Roman"/>
          <w:sz w:val="20"/>
          <w:szCs w:val="20"/>
          <w:lang w:val="lv-LV"/>
        </w:rPr>
        <w:t xml:space="preserve"> un projekta īstenošanas un vadības personālam darbam ar mērķa grupas jauniešiem;</w:t>
      </w:r>
      <w:r w:rsidRPr="00A3750B">
        <w:rPr>
          <w:rFonts w:cs="Times New Roman"/>
          <w:sz w:val="20"/>
          <w:szCs w:val="20"/>
          <w:lang w:val="lv-LV"/>
        </w:rPr>
        <w:br/>
        <w:t xml:space="preserve">-    regulāru </w:t>
      </w:r>
      <w:proofErr w:type="spellStart"/>
      <w:r w:rsidRPr="00A3750B">
        <w:rPr>
          <w:rFonts w:cs="Times New Roman"/>
          <w:sz w:val="20"/>
          <w:szCs w:val="20"/>
          <w:lang w:val="lv-LV"/>
        </w:rPr>
        <w:t>supervīziju</w:t>
      </w:r>
      <w:proofErr w:type="spellEnd"/>
      <w:r w:rsidRPr="00A3750B">
        <w:rPr>
          <w:rFonts w:cs="Times New Roman"/>
          <w:sz w:val="20"/>
          <w:szCs w:val="20"/>
          <w:lang w:val="lv-LV"/>
        </w:rPr>
        <w:t xml:space="preserve"> un pieredzes apmaiņas pasākumu nodrošināšana programmu vadītājiem un mērķa grupas jauniešu </w:t>
      </w:r>
      <w:proofErr w:type="spellStart"/>
      <w:r w:rsidRPr="00A3750B">
        <w:rPr>
          <w:rFonts w:cs="Times New Roman"/>
          <w:sz w:val="20"/>
          <w:szCs w:val="20"/>
          <w:lang w:val="lv-LV"/>
        </w:rPr>
        <w:t>mentoriem</w:t>
      </w:r>
      <w:proofErr w:type="spellEnd"/>
      <w:r w:rsidRPr="00A3750B">
        <w:rPr>
          <w:rFonts w:cs="Times New Roman"/>
          <w:sz w:val="20"/>
          <w:szCs w:val="20"/>
          <w:lang w:val="lv-LV"/>
        </w:rPr>
        <w:t>;</w:t>
      </w:r>
      <w:r w:rsidRPr="00A3750B">
        <w:rPr>
          <w:rFonts w:cs="Times New Roman"/>
          <w:sz w:val="20"/>
          <w:szCs w:val="20"/>
          <w:lang w:val="lv-LV"/>
        </w:rPr>
        <w:br/>
        <w:t xml:space="preserve">-    konsultāciju sniegšana programmu vadītājiem un mērķa grupas jauniešu </w:t>
      </w:r>
      <w:proofErr w:type="spellStart"/>
      <w:r w:rsidRPr="00A3750B">
        <w:rPr>
          <w:rFonts w:cs="Times New Roman"/>
          <w:sz w:val="20"/>
          <w:szCs w:val="20"/>
          <w:lang w:val="lv-LV"/>
        </w:rPr>
        <w:t>mentoriem</w:t>
      </w:r>
      <w:proofErr w:type="spellEnd"/>
      <w:r w:rsidRPr="00A3750B">
        <w:rPr>
          <w:rFonts w:cs="Times New Roman"/>
          <w:sz w:val="20"/>
          <w:szCs w:val="20"/>
          <w:lang w:val="lv-LV"/>
        </w:rPr>
        <w:t xml:space="preserve"> tiešsaistē, telefoniski un klātienē v</w:t>
      </w:r>
      <w:r w:rsidR="00A3750B" w:rsidRPr="00A3750B">
        <w:rPr>
          <w:rFonts w:cs="Times New Roman"/>
          <w:sz w:val="20"/>
          <w:szCs w:val="20"/>
          <w:lang w:val="lv-LV"/>
        </w:rPr>
        <w:t>isā projekta īstenošanas laikā;</w:t>
      </w:r>
      <w:r w:rsidRPr="00A3750B">
        <w:rPr>
          <w:rFonts w:cs="Times New Roman"/>
          <w:sz w:val="20"/>
          <w:szCs w:val="20"/>
          <w:lang w:val="lv-LV"/>
        </w:rPr>
        <w:br/>
      </w:r>
      <w:r w:rsidRPr="00A3750B">
        <w:rPr>
          <w:rStyle w:val="Strong"/>
          <w:rFonts w:ascii="Arial" w:hAnsi="Arial" w:cs="Arial"/>
          <w:i/>
          <w:sz w:val="20"/>
          <w:szCs w:val="20"/>
          <w:lang w:val="lv-LV"/>
        </w:rPr>
        <w:t>►</w:t>
      </w:r>
      <w:r w:rsidRPr="00A3750B">
        <w:rPr>
          <w:rStyle w:val="Strong"/>
          <w:rFonts w:cs="Times New Roman"/>
          <w:i/>
          <w:sz w:val="20"/>
          <w:szCs w:val="20"/>
          <w:lang w:val="lv-LV"/>
        </w:rPr>
        <w:t xml:space="preserve"> </w:t>
      </w:r>
      <w:r w:rsidRPr="00A3750B">
        <w:rPr>
          <w:rStyle w:val="Strong"/>
          <w:rFonts w:cs="Times New Roman"/>
          <w:i/>
          <w:sz w:val="20"/>
          <w:szCs w:val="20"/>
          <w:lang w:val="lv-LV"/>
        </w:rPr>
        <w:t>projekta saturiskās kvalitātes nodrošināšana un uzraudzība visos projekta īstenošanas posmos:</w:t>
      </w:r>
      <w:r w:rsidRPr="00A3750B">
        <w:rPr>
          <w:rFonts w:cs="Times New Roman"/>
          <w:sz w:val="20"/>
          <w:szCs w:val="20"/>
          <w:lang w:val="lv-LV"/>
        </w:rPr>
        <w:br/>
        <w:t>-    sadarbības partneru sniegto projekta pārskatu izvērtēšana;</w:t>
      </w:r>
      <w:r w:rsidRPr="00A3750B">
        <w:rPr>
          <w:rFonts w:cs="Times New Roman"/>
          <w:sz w:val="20"/>
          <w:szCs w:val="20"/>
          <w:lang w:val="lv-LV"/>
        </w:rPr>
        <w:br/>
        <w:t>-    kvalitātes novērtēšanas vizīšu nodrošināšana;</w:t>
      </w:r>
      <w:r w:rsidRPr="00A3750B">
        <w:rPr>
          <w:rFonts w:cs="Times New Roman"/>
          <w:sz w:val="20"/>
          <w:szCs w:val="20"/>
          <w:lang w:val="lv-LV"/>
        </w:rPr>
        <w:br/>
        <w:t xml:space="preserve">-    projekta īstenošanas un sasniegto rezultātu izvērtēšanas un labās prakses pārņemšanas pasākumu rīkošana </w:t>
      </w:r>
      <w:r w:rsidR="00A3750B" w:rsidRPr="00A3750B">
        <w:rPr>
          <w:rFonts w:cs="Times New Roman"/>
          <w:sz w:val="20"/>
          <w:szCs w:val="20"/>
          <w:lang w:val="lv-LV"/>
        </w:rPr>
        <w:t>projekta sadarbības partneriem;</w:t>
      </w:r>
      <w:r w:rsidRPr="00A3750B">
        <w:rPr>
          <w:rFonts w:cs="Times New Roman"/>
          <w:sz w:val="20"/>
          <w:szCs w:val="20"/>
          <w:lang w:val="lv-LV"/>
        </w:rPr>
        <w:br/>
      </w:r>
      <w:r w:rsidRPr="00A3750B">
        <w:rPr>
          <w:rStyle w:val="Strong"/>
          <w:rFonts w:ascii="Arial" w:hAnsi="Arial" w:cs="Arial"/>
          <w:i/>
          <w:sz w:val="20"/>
          <w:szCs w:val="20"/>
          <w:lang w:val="lv-LV"/>
        </w:rPr>
        <w:t>►</w:t>
      </w:r>
      <w:r w:rsidRPr="00A3750B">
        <w:rPr>
          <w:rStyle w:val="Strong"/>
          <w:rFonts w:cs="Times New Roman"/>
          <w:i/>
          <w:sz w:val="20"/>
          <w:szCs w:val="20"/>
          <w:lang w:val="lv-LV"/>
        </w:rPr>
        <w:t xml:space="preserve"> </w:t>
      </w:r>
      <w:r w:rsidRPr="00A3750B">
        <w:rPr>
          <w:rStyle w:val="Strong"/>
          <w:rFonts w:cs="Times New Roman"/>
          <w:i/>
          <w:sz w:val="20"/>
          <w:szCs w:val="20"/>
          <w:lang w:val="lv-LV"/>
        </w:rPr>
        <w:t>projekta vadība;</w:t>
      </w:r>
      <w:r w:rsidRPr="00A3750B">
        <w:rPr>
          <w:rFonts w:cs="Times New Roman"/>
          <w:sz w:val="20"/>
          <w:szCs w:val="20"/>
          <w:lang w:val="lv-LV"/>
        </w:rPr>
        <w:br/>
      </w:r>
      <w:r w:rsidRPr="00A3750B">
        <w:rPr>
          <w:rStyle w:val="Strong"/>
          <w:rFonts w:ascii="Arial" w:hAnsi="Arial" w:cs="Arial"/>
          <w:i/>
          <w:sz w:val="20"/>
          <w:szCs w:val="20"/>
          <w:lang w:val="lv-LV"/>
        </w:rPr>
        <w:t>►</w:t>
      </w:r>
      <w:r w:rsidRPr="00A3750B">
        <w:rPr>
          <w:rStyle w:val="Strong"/>
          <w:rFonts w:cs="Times New Roman"/>
          <w:i/>
          <w:sz w:val="20"/>
          <w:szCs w:val="20"/>
          <w:lang w:val="lv-LV"/>
        </w:rPr>
        <w:t xml:space="preserve"> </w:t>
      </w:r>
      <w:r w:rsidRPr="00A3750B">
        <w:rPr>
          <w:rStyle w:val="Strong"/>
          <w:rFonts w:cs="Times New Roman"/>
          <w:i/>
          <w:sz w:val="20"/>
          <w:szCs w:val="20"/>
          <w:lang w:val="lv-LV"/>
        </w:rPr>
        <w:t>informācijas un publicitātes pasākumu īstenošana</w:t>
      </w:r>
      <w:r w:rsidRPr="00A3750B">
        <w:rPr>
          <w:rFonts w:cs="Times New Roman"/>
          <w:i/>
          <w:sz w:val="20"/>
          <w:szCs w:val="20"/>
          <w:lang w:val="lv-LV"/>
        </w:rPr>
        <w:t>.</w:t>
      </w:r>
    </w:p>
    <w:p w:rsidR="004F1EDB" w:rsidRPr="00A3750B" w:rsidRDefault="004F1EDB" w:rsidP="00A3750B">
      <w:pPr>
        <w:rPr>
          <w:rFonts w:cs="Times New Roman"/>
          <w:b/>
          <w:sz w:val="20"/>
          <w:szCs w:val="20"/>
          <w:lang w:val="lv-LV"/>
        </w:rPr>
      </w:pPr>
      <w:r w:rsidRPr="00A3750B">
        <w:rPr>
          <w:rFonts w:cs="Times New Roman"/>
          <w:b/>
          <w:sz w:val="20"/>
          <w:szCs w:val="20"/>
          <w:lang w:val="lv-LV"/>
        </w:rPr>
        <w:t>MĒRĶA GRUPAS JAUNIETIM PAREDZĒTS ATBALSTS</w:t>
      </w:r>
    </w:p>
    <w:p w:rsidR="004F1EDB" w:rsidRPr="00A3750B" w:rsidRDefault="004F1EDB" w:rsidP="00A3750B">
      <w:pPr>
        <w:rPr>
          <w:rFonts w:cs="Times New Roman"/>
          <w:sz w:val="20"/>
          <w:szCs w:val="20"/>
          <w:lang w:val="lv-LV"/>
        </w:rPr>
      </w:pPr>
      <w:r w:rsidRPr="00A3750B">
        <w:rPr>
          <w:rFonts w:cs="Times New Roman"/>
          <w:sz w:val="20"/>
          <w:szCs w:val="20"/>
          <w:lang w:val="lv-LV"/>
        </w:rPr>
        <w:t>1. veikta jauniešu profilēšana, apzinot jaunieša prasmes, intereses un iegūto izglītību, kā arī nosakot attīstības virzienus;</w:t>
      </w:r>
      <w:r w:rsidRPr="00A3750B">
        <w:rPr>
          <w:rFonts w:cs="Times New Roman"/>
          <w:sz w:val="20"/>
          <w:szCs w:val="20"/>
          <w:lang w:val="lv-LV"/>
        </w:rPr>
        <w:br/>
        <w:t>2. sadarbībā ar katru jaunieti, balstoties uz tā profilēšanas rezultātiem, izstrādāta viņa individuālā pasākumu programma, kas sastāv no četrām obligātajām komponentēm (UNESCO izstrādātie mācīšanās pīlāri): personības attīstība, iekļaušanās sabiedrībā, "darba tikums", mūžizglītības kompetences;</w:t>
      </w:r>
      <w:r w:rsidRPr="00A3750B">
        <w:rPr>
          <w:rFonts w:cs="Times New Roman"/>
          <w:sz w:val="20"/>
          <w:szCs w:val="20"/>
          <w:lang w:val="lv-LV"/>
        </w:rPr>
        <w:br/>
        <w:t>3. noslēgta vienošanās ar mērķa grupas jaunieti par dalību individuālās pasākumu programmas īstenošanā projekta ietvaros;</w:t>
      </w:r>
      <w:r w:rsidRPr="00A3750B">
        <w:rPr>
          <w:rFonts w:cs="Times New Roman"/>
          <w:sz w:val="20"/>
          <w:szCs w:val="20"/>
          <w:lang w:val="lv-LV"/>
        </w:rPr>
        <w:br/>
        <w:t>4. īstenota jaunieša individuālā pasākumu programma līdz 9 mēnešiem ilgā laika periodā, nodrošinot tajā paredzētos pasākumus, kas var ietvert šādas aktivitātes:</w:t>
      </w:r>
      <w:r w:rsidRPr="00A3750B">
        <w:rPr>
          <w:rFonts w:cs="Times New Roman"/>
          <w:sz w:val="20"/>
          <w:szCs w:val="20"/>
          <w:lang w:val="lv-LV"/>
        </w:rPr>
        <w:br/>
        <w:t xml:space="preserve">-    regulārs individuāls </w:t>
      </w:r>
      <w:proofErr w:type="spellStart"/>
      <w:r w:rsidRPr="00A3750B">
        <w:rPr>
          <w:rFonts w:cs="Times New Roman"/>
          <w:sz w:val="20"/>
          <w:szCs w:val="20"/>
          <w:lang w:val="lv-LV"/>
        </w:rPr>
        <w:t>mentora</w:t>
      </w:r>
      <w:proofErr w:type="spellEnd"/>
      <w:r w:rsidRPr="00A3750B">
        <w:rPr>
          <w:rFonts w:cs="Times New Roman"/>
          <w:sz w:val="20"/>
          <w:szCs w:val="20"/>
          <w:lang w:val="lv-LV"/>
        </w:rPr>
        <w:t xml:space="preserve"> atbalsts (ne mazāk kā 20 stundas mēnesī),  kura laikā </w:t>
      </w:r>
      <w:proofErr w:type="spellStart"/>
      <w:r w:rsidRPr="00A3750B">
        <w:rPr>
          <w:rFonts w:cs="Times New Roman"/>
          <w:sz w:val="20"/>
          <w:szCs w:val="20"/>
          <w:lang w:val="lv-LV"/>
        </w:rPr>
        <w:t>mentors</w:t>
      </w:r>
      <w:proofErr w:type="spellEnd"/>
      <w:r w:rsidRPr="00A3750B">
        <w:rPr>
          <w:rFonts w:cs="Times New Roman"/>
          <w:sz w:val="20"/>
          <w:szCs w:val="20"/>
          <w:lang w:val="lv-LV"/>
        </w:rPr>
        <w:t xml:space="preserve"> sniedz atbalstu mērķa grupas jaunietim individuālās pasākumu programmas īstenošanā; </w:t>
      </w:r>
      <w:r w:rsidRPr="00A3750B">
        <w:rPr>
          <w:rFonts w:cs="Times New Roman"/>
          <w:sz w:val="20"/>
          <w:szCs w:val="20"/>
          <w:lang w:val="lv-LV"/>
        </w:rPr>
        <w:br/>
        <w:t xml:space="preserve">-    formālās un ikdienas mācīšanās, </w:t>
      </w:r>
      <w:r w:rsidRPr="00A3750B">
        <w:rPr>
          <w:rFonts w:cs="Times New Roman"/>
          <w:sz w:val="20"/>
          <w:szCs w:val="20"/>
          <w:lang w:val="lv-LV"/>
        </w:rPr>
        <w:br/>
        <w:t>-    speciālistu konsultācijas  (psihologs, karjeras konsultants u. c., izņemot ārstniecības personālu),</w:t>
      </w:r>
      <w:r w:rsidRPr="00A3750B">
        <w:rPr>
          <w:rFonts w:cs="Times New Roman"/>
          <w:sz w:val="20"/>
          <w:szCs w:val="20"/>
          <w:lang w:val="lv-LV"/>
        </w:rPr>
        <w:br/>
        <w:t>-    dalība pasākumos (nometnes, semināri, sporta aktivitātes, kultūras pasākumi),</w:t>
      </w:r>
      <w:r w:rsidRPr="00A3750B">
        <w:rPr>
          <w:rFonts w:cs="Times New Roman"/>
          <w:sz w:val="20"/>
          <w:szCs w:val="20"/>
          <w:lang w:val="lv-LV"/>
        </w:rPr>
        <w:br/>
        <w:t>-    brīvprātīgā darba aktivitātes,</w:t>
      </w:r>
      <w:r w:rsidRPr="00A3750B">
        <w:rPr>
          <w:rFonts w:cs="Times New Roman"/>
          <w:sz w:val="20"/>
          <w:szCs w:val="20"/>
          <w:lang w:val="lv-LV"/>
        </w:rPr>
        <w:br/>
        <w:t>-    iesaisti nevalstisko organizāciju un jauniešu centru aktivitātēs, pasākumos un projektos,</w:t>
      </w:r>
      <w:r w:rsidRPr="00A3750B">
        <w:rPr>
          <w:rFonts w:cs="Times New Roman"/>
          <w:sz w:val="20"/>
          <w:szCs w:val="20"/>
          <w:lang w:val="lv-LV"/>
        </w:rPr>
        <w:br/>
        <w:t>-    profesijas specifikas iepazīšana, tai skaitā vizītes uzņēmumos, lai izvēlētos iegūt profesionālo kvalifikāciju vai apgūt arodu pie amata meistara;</w:t>
      </w:r>
      <w:r w:rsidRPr="00A3750B">
        <w:rPr>
          <w:rFonts w:cs="Times New Roman"/>
          <w:sz w:val="20"/>
          <w:szCs w:val="20"/>
          <w:lang w:val="lv-LV"/>
        </w:rPr>
        <w:br/>
        <w:t>-    iesaisti vietējās sabiedriskajās aktivitātēs.</w:t>
      </w:r>
      <w:r w:rsidRPr="00A3750B">
        <w:rPr>
          <w:rFonts w:cs="Times New Roman"/>
          <w:sz w:val="20"/>
          <w:szCs w:val="20"/>
          <w:lang w:val="lv-LV"/>
        </w:rPr>
        <w:br/>
      </w:r>
      <w:r w:rsidRPr="00A3750B">
        <w:rPr>
          <w:rFonts w:cs="Times New Roman"/>
          <w:sz w:val="20"/>
          <w:szCs w:val="20"/>
          <w:lang w:val="lv-LV"/>
        </w:rPr>
        <w:lastRenderedPageBreak/>
        <w:t xml:space="preserve">-    specifiski pasākumi mērķa grupas jauniešiem ar invaliditāti (ar </w:t>
      </w:r>
      <w:proofErr w:type="spellStart"/>
      <w:r w:rsidRPr="00A3750B">
        <w:rPr>
          <w:rFonts w:cs="Times New Roman"/>
          <w:sz w:val="20"/>
          <w:szCs w:val="20"/>
          <w:lang w:val="lv-LV"/>
        </w:rPr>
        <w:t>surdotulka</w:t>
      </w:r>
      <w:proofErr w:type="spellEnd"/>
      <w:r w:rsidRPr="00A3750B">
        <w:rPr>
          <w:rFonts w:cs="Times New Roman"/>
          <w:sz w:val="20"/>
          <w:szCs w:val="20"/>
          <w:lang w:val="lv-LV"/>
        </w:rPr>
        <w:t>, asistenta palīdzību, specializēto transportu);</w:t>
      </w:r>
    </w:p>
    <w:p w:rsidR="004F1EDB" w:rsidRPr="00A3750B" w:rsidRDefault="004F1EDB" w:rsidP="00A3750B">
      <w:pPr>
        <w:rPr>
          <w:rFonts w:cs="Times New Roman"/>
          <w:b/>
          <w:sz w:val="20"/>
          <w:szCs w:val="20"/>
          <w:lang w:val="lv-LV"/>
        </w:rPr>
      </w:pPr>
      <w:r w:rsidRPr="00A3750B">
        <w:rPr>
          <w:rFonts w:cs="Times New Roman"/>
          <w:b/>
          <w:sz w:val="20"/>
          <w:szCs w:val="20"/>
          <w:lang w:val="lv-LV"/>
        </w:rPr>
        <w:t>SASNIEDZAMI REZULTĀTI LATVIJAS LĪMENĪ</w:t>
      </w:r>
    </w:p>
    <w:p w:rsidR="004F1EDB" w:rsidRPr="00A3750B" w:rsidRDefault="004F1EDB" w:rsidP="00A3750B">
      <w:pPr>
        <w:rPr>
          <w:rFonts w:cs="Times New Roman"/>
          <w:sz w:val="20"/>
          <w:szCs w:val="20"/>
          <w:lang w:val="lv-LV"/>
        </w:rPr>
      </w:pPr>
      <w:r w:rsidRPr="00A3750B">
        <w:rPr>
          <w:rFonts w:cs="Times New Roman"/>
          <w:sz w:val="20"/>
          <w:szCs w:val="20"/>
          <w:lang w:val="lv-LV"/>
        </w:rPr>
        <w:t>Īstenojot projekta "PROTI un DARI!" aktivitātes, līdz 2018. gada 31. decembrim plānots sasniegt šādus uzraudzības rādītājus:</w:t>
      </w:r>
      <w:r w:rsidRPr="00A3750B">
        <w:rPr>
          <w:rFonts w:cs="Times New Roman"/>
          <w:sz w:val="20"/>
          <w:szCs w:val="20"/>
          <w:lang w:val="lv-LV"/>
        </w:rPr>
        <w:br/>
        <w:t>-    iznākuma rādītājs – NVA nereģistrēto NEET jauniešu skaits, kas saņēmuši atbalstu projekta ietvaros, – 5 262;</w:t>
      </w:r>
      <w:r w:rsidRPr="00A3750B">
        <w:rPr>
          <w:rFonts w:cs="Times New Roman"/>
          <w:sz w:val="20"/>
          <w:szCs w:val="20"/>
          <w:lang w:val="lv-LV"/>
        </w:rPr>
        <w:br/>
        <w:t>-    rezultāta rādītājs – NVA nereģistrēto NEET jauniešu skaits, kas sekmīgi izpildījuši individuālo pasākumu programmu projekta ietvaros, – 3</w:t>
      </w:r>
      <w:r w:rsidRPr="00A3750B">
        <w:rPr>
          <w:rFonts w:cs="Times New Roman"/>
          <w:sz w:val="20"/>
          <w:szCs w:val="20"/>
          <w:lang w:val="lv-LV"/>
        </w:rPr>
        <w:t> </w:t>
      </w:r>
      <w:r w:rsidRPr="00A3750B">
        <w:rPr>
          <w:rFonts w:cs="Times New Roman"/>
          <w:sz w:val="20"/>
          <w:szCs w:val="20"/>
          <w:lang w:val="lv-LV"/>
        </w:rPr>
        <w:t>684.</w:t>
      </w:r>
    </w:p>
    <w:p w:rsidR="004F1EDB" w:rsidRPr="00A3750B" w:rsidRDefault="004F1EDB" w:rsidP="00A3750B">
      <w:pPr>
        <w:pStyle w:val="NoSpacing"/>
        <w:rPr>
          <w:b/>
          <w:sz w:val="20"/>
          <w:szCs w:val="20"/>
          <w:lang w:val="lv-LV"/>
        </w:rPr>
      </w:pPr>
      <w:r w:rsidRPr="00A3750B">
        <w:rPr>
          <w:b/>
          <w:sz w:val="20"/>
          <w:szCs w:val="20"/>
          <w:lang w:val="lv-LV"/>
        </w:rPr>
        <w:t>PROJEKTA ĪSTENOŠANAS TERMIŅŠ</w:t>
      </w:r>
    </w:p>
    <w:p w:rsidR="00A3750B" w:rsidRPr="00A3750B" w:rsidRDefault="00A3750B" w:rsidP="00A3750B">
      <w:pPr>
        <w:pStyle w:val="NoSpacing"/>
        <w:rPr>
          <w:b/>
          <w:sz w:val="20"/>
          <w:szCs w:val="20"/>
          <w:lang w:val="lv-LV"/>
        </w:rPr>
      </w:pPr>
    </w:p>
    <w:p w:rsidR="004F1EDB" w:rsidRPr="00A3750B" w:rsidRDefault="004F1EDB" w:rsidP="00A3750B">
      <w:pPr>
        <w:pStyle w:val="NoSpacing"/>
        <w:rPr>
          <w:sz w:val="20"/>
          <w:szCs w:val="20"/>
          <w:lang w:val="lv-LV"/>
        </w:rPr>
      </w:pPr>
      <w:r w:rsidRPr="00A3750B">
        <w:rPr>
          <w:sz w:val="20"/>
          <w:szCs w:val="20"/>
          <w:lang w:val="lv-LV"/>
        </w:rPr>
        <w:t>2014. gada septembris - 2018. gada decembris.</w:t>
      </w:r>
    </w:p>
    <w:p w:rsidR="00A3750B" w:rsidRPr="00A3750B" w:rsidRDefault="00A3750B" w:rsidP="00A3750B">
      <w:pPr>
        <w:pStyle w:val="NoSpacing"/>
        <w:rPr>
          <w:b/>
          <w:sz w:val="20"/>
          <w:szCs w:val="20"/>
          <w:lang w:val="lv-LV"/>
        </w:rPr>
      </w:pPr>
    </w:p>
    <w:p w:rsidR="004F1EDB" w:rsidRPr="00A3750B" w:rsidRDefault="004F1EDB" w:rsidP="00A3750B">
      <w:pPr>
        <w:pStyle w:val="NoSpacing"/>
        <w:rPr>
          <w:b/>
          <w:sz w:val="20"/>
          <w:szCs w:val="20"/>
          <w:lang w:val="lv-LV"/>
        </w:rPr>
      </w:pPr>
      <w:r w:rsidRPr="00A3750B">
        <w:rPr>
          <w:b/>
          <w:sz w:val="20"/>
          <w:szCs w:val="20"/>
          <w:lang w:val="lv-LV"/>
        </w:rPr>
        <w:t>PROJEKTA FINANSĒJUMS</w:t>
      </w:r>
    </w:p>
    <w:p w:rsidR="00A3750B" w:rsidRPr="00A3750B" w:rsidRDefault="00A3750B" w:rsidP="00A3750B">
      <w:pPr>
        <w:pStyle w:val="NoSpacing"/>
        <w:rPr>
          <w:b/>
          <w:sz w:val="20"/>
          <w:szCs w:val="20"/>
          <w:lang w:val="lv-LV"/>
        </w:rPr>
      </w:pPr>
    </w:p>
    <w:p w:rsidR="004F1EDB" w:rsidRPr="00A3750B" w:rsidRDefault="004F1EDB" w:rsidP="00A3750B">
      <w:pPr>
        <w:rPr>
          <w:rFonts w:cs="Times New Roman"/>
          <w:sz w:val="20"/>
          <w:szCs w:val="20"/>
          <w:lang w:val="lv-LV"/>
        </w:rPr>
      </w:pPr>
      <w:r w:rsidRPr="00A3750B">
        <w:rPr>
          <w:rFonts w:cs="Times New Roman"/>
          <w:sz w:val="20"/>
          <w:szCs w:val="20"/>
          <w:lang w:val="lv-LV"/>
        </w:rPr>
        <w:t xml:space="preserve">Projekta "PROTI un DARI!" kopējais finansējums ir 9 000 000 EUR, </w:t>
      </w:r>
      <w:proofErr w:type="spellStart"/>
      <w:r w:rsidRPr="00A3750B">
        <w:rPr>
          <w:rFonts w:cs="Times New Roman"/>
          <w:sz w:val="20"/>
          <w:szCs w:val="20"/>
          <w:lang w:val="lv-LV"/>
        </w:rPr>
        <w:t>t.sk</w:t>
      </w:r>
      <w:proofErr w:type="spellEnd"/>
      <w:r w:rsidRPr="00A3750B">
        <w:rPr>
          <w:rFonts w:cs="Times New Roman"/>
          <w:sz w:val="20"/>
          <w:szCs w:val="20"/>
          <w:lang w:val="lv-LV"/>
        </w:rPr>
        <w:t>. Eiropas Sociālās fonda finansējums 7 650 000 EUR un valsts budžets – 1 350 000 EUR. </w:t>
      </w:r>
    </w:p>
    <w:p w:rsidR="004F1EDB" w:rsidRPr="00A3750B" w:rsidRDefault="004F1EDB" w:rsidP="00A3750B">
      <w:pPr>
        <w:rPr>
          <w:rFonts w:cs="Times New Roman"/>
          <w:b/>
          <w:sz w:val="20"/>
          <w:szCs w:val="20"/>
          <w:lang w:val="lv-LV"/>
        </w:rPr>
      </w:pPr>
      <w:r w:rsidRPr="00A3750B">
        <w:rPr>
          <w:rFonts w:cs="Times New Roman"/>
          <w:b/>
          <w:sz w:val="20"/>
          <w:szCs w:val="20"/>
          <w:lang w:val="lv-LV"/>
        </w:rPr>
        <w:t>PROJEKTA ĪSTENOŠANAS PAMATS</w:t>
      </w:r>
    </w:p>
    <w:p w:rsidR="004F1EDB" w:rsidRPr="00A3750B" w:rsidRDefault="004F1EDB" w:rsidP="00A3750B">
      <w:pPr>
        <w:rPr>
          <w:rFonts w:cs="Times New Roman"/>
          <w:sz w:val="20"/>
          <w:szCs w:val="20"/>
          <w:lang w:val="lv-LV"/>
        </w:rPr>
      </w:pPr>
      <w:r w:rsidRPr="00A3750B">
        <w:rPr>
          <w:rFonts w:cs="Times New Roman"/>
          <w:sz w:val="20"/>
          <w:szCs w:val="20"/>
          <w:lang w:val="lv-LV"/>
        </w:rPr>
        <w:t xml:space="preserve">2015. gada 7. jūlija Ministru kabineta noteikumi </w:t>
      </w:r>
      <w:proofErr w:type="spellStart"/>
      <w:r w:rsidRPr="00A3750B">
        <w:rPr>
          <w:rFonts w:cs="Times New Roman"/>
          <w:sz w:val="20"/>
          <w:szCs w:val="20"/>
          <w:lang w:val="lv-LV"/>
        </w:rPr>
        <w:t>Nr</w:t>
      </w:r>
      <w:proofErr w:type="spellEnd"/>
      <w:r w:rsidRPr="00A3750B">
        <w:rPr>
          <w:rFonts w:cs="Times New Roman"/>
          <w:sz w:val="20"/>
          <w:szCs w:val="20"/>
          <w:lang w:val="lv-LV"/>
        </w:rPr>
        <w:t xml:space="preserve">. 358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(turpmāk – MK noteikumi Nr.385) </w:t>
      </w:r>
      <w:hyperlink r:id="rId6" w:tgtFrame="_blank" w:history="1">
        <w:r w:rsidRPr="00A3750B">
          <w:rPr>
            <w:rStyle w:val="Hyperlink"/>
            <w:rFonts w:cs="Times New Roman"/>
            <w:sz w:val="20"/>
            <w:szCs w:val="20"/>
            <w:lang w:val="lv-LV"/>
          </w:rPr>
          <w:t>https://www.vestnesis.lv/op/2015/145.2</w:t>
        </w:r>
      </w:hyperlink>
    </w:p>
    <w:p w:rsidR="00A3750B" w:rsidRPr="00A3750B" w:rsidRDefault="00A3750B" w:rsidP="00A3750B">
      <w:pPr>
        <w:rPr>
          <w:rFonts w:cs="Times New Roman"/>
          <w:b/>
          <w:sz w:val="20"/>
          <w:szCs w:val="20"/>
          <w:lang w:val="lv-LV"/>
        </w:rPr>
      </w:pPr>
      <w:r w:rsidRPr="00A3750B">
        <w:rPr>
          <w:rFonts w:cs="Times New Roman"/>
          <w:b/>
          <w:sz w:val="20"/>
          <w:szCs w:val="20"/>
          <w:lang w:val="lv-LV"/>
        </w:rPr>
        <w:t>KONTAKTPERSONA DAUGAVPILS PILSĒTAS PAŠVALDĪBĀ</w:t>
      </w:r>
    </w:p>
    <w:p w:rsidR="00A3750B" w:rsidRPr="00A3750B" w:rsidRDefault="00A3750B" w:rsidP="00A3750B">
      <w:pPr>
        <w:pStyle w:val="NoSpacing"/>
        <w:spacing w:line="276" w:lineRule="auto"/>
        <w:rPr>
          <w:sz w:val="20"/>
          <w:szCs w:val="20"/>
          <w:lang w:val="lv-LV"/>
        </w:rPr>
      </w:pPr>
      <w:r w:rsidRPr="00A3750B">
        <w:rPr>
          <w:sz w:val="20"/>
          <w:szCs w:val="20"/>
          <w:lang w:val="lv-LV"/>
        </w:rPr>
        <w:t>Attīstības departamenta</w:t>
      </w:r>
    </w:p>
    <w:p w:rsidR="00A3750B" w:rsidRPr="00A3750B" w:rsidRDefault="00A3750B" w:rsidP="00A3750B">
      <w:pPr>
        <w:pStyle w:val="NoSpacing"/>
        <w:spacing w:line="276" w:lineRule="auto"/>
        <w:rPr>
          <w:sz w:val="20"/>
          <w:szCs w:val="20"/>
          <w:lang w:val="lv-LV"/>
        </w:rPr>
      </w:pPr>
      <w:r w:rsidRPr="00A3750B">
        <w:rPr>
          <w:sz w:val="20"/>
          <w:szCs w:val="20"/>
          <w:lang w:val="lv-LV"/>
        </w:rPr>
        <w:t xml:space="preserve">Projektu nodaļa </w:t>
      </w:r>
    </w:p>
    <w:p w:rsidR="00A3750B" w:rsidRPr="00A3750B" w:rsidRDefault="00A3750B" w:rsidP="00A3750B">
      <w:pPr>
        <w:pStyle w:val="NoSpacing"/>
        <w:spacing w:line="276" w:lineRule="auto"/>
        <w:rPr>
          <w:sz w:val="20"/>
          <w:szCs w:val="20"/>
          <w:lang w:val="lv-LV"/>
        </w:rPr>
      </w:pPr>
      <w:r w:rsidRPr="00A3750B">
        <w:rPr>
          <w:sz w:val="20"/>
          <w:szCs w:val="20"/>
          <w:lang w:val="lv-LV"/>
        </w:rPr>
        <w:t>Teodors Bikovskis</w:t>
      </w:r>
    </w:p>
    <w:p w:rsidR="00A3750B" w:rsidRPr="00A3750B" w:rsidRDefault="00A3750B" w:rsidP="00A3750B">
      <w:pPr>
        <w:pStyle w:val="NoSpacing"/>
        <w:spacing w:line="276" w:lineRule="auto"/>
        <w:rPr>
          <w:sz w:val="20"/>
          <w:szCs w:val="20"/>
          <w:lang w:val="lv-LV"/>
        </w:rPr>
      </w:pPr>
      <w:r w:rsidRPr="00A3750B">
        <w:rPr>
          <w:sz w:val="20"/>
          <w:szCs w:val="20"/>
          <w:lang w:val="lv-LV"/>
        </w:rPr>
        <w:t>teodors.bikovskis@daugavpils.lv</w:t>
      </w:r>
    </w:p>
    <w:p w:rsidR="00A3750B" w:rsidRPr="00A3750B" w:rsidRDefault="00A3750B" w:rsidP="00A3750B">
      <w:pPr>
        <w:pStyle w:val="NoSpacing"/>
        <w:spacing w:line="276" w:lineRule="auto"/>
        <w:rPr>
          <w:sz w:val="20"/>
          <w:szCs w:val="20"/>
          <w:lang w:val="lv-LV"/>
        </w:rPr>
      </w:pPr>
      <w:r w:rsidRPr="00A3750B">
        <w:rPr>
          <w:sz w:val="20"/>
          <w:szCs w:val="20"/>
          <w:lang w:val="lv-LV"/>
        </w:rPr>
        <w:t>65476801, 29629209</w:t>
      </w:r>
    </w:p>
    <w:p w:rsidR="00A3750B" w:rsidRPr="00A3750B" w:rsidRDefault="00A3750B" w:rsidP="00A3750B">
      <w:pPr>
        <w:pStyle w:val="NoSpacing"/>
        <w:spacing w:line="276" w:lineRule="auto"/>
        <w:rPr>
          <w:sz w:val="20"/>
          <w:szCs w:val="20"/>
          <w:lang w:val="lv-LV"/>
        </w:rPr>
      </w:pPr>
    </w:p>
    <w:sectPr w:rsidR="00A3750B" w:rsidRPr="00A375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DB"/>
    <w:rsid w:val="001B03CA"/>
    <w:rsid w:val="0024056C"/>
    <w:rsid w:val="004F1EDB"/>
    <w:rsid w:val="006A22DF"/>
    <w:rsid w:val="00A3750B"/>
    <w:rsid w:val="00FC0817"/>
    <w:rsid w:val="00FC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1EDB"/>
    <w:rPr>
      <w:b/>
      <w:bCs/>
    </w:rPr>
  </w:style>
  <w:style w:type="character" w:styleId="Hyperlink">
    <w:name w:val="Hyperlink"/>
    <w:basedOn w:val="DefaultParagraphFont"/>
    <w:uiPriority w:val="99"/>
    <w:unhideWhenUsed/>
    <w:rsid w:val="004F1EDB"/>
    <w:rPr>
      <w:strike w:val="0"/>
      <w:dstrike w:val="0"/>
      <w:color w:val="6481A9"/>
      <w:u w:val="none"/>
      <w:effect w:val="none"/>
    </w:rPr>
  </w:style>
  <w:style w:type="paragraph" w:styleId="NoSpacing">
    <w:name w:val="No Spacing"/>
    <w:uiPriority w:val="1"/>
    <w:qFormat/>
    <w:rsid w:val="00A3750B"/>
    <w:pPr>
      <w:spacing w:after="0" w:line="240" w:lineRule="auto"/>
    </w:pPr>
  </w:style>
  <w:style w:type="paragraph" w:styleId="BalloonText">
    <w:name w:val="Balloon Text"/>
    <w:basedOn w:val="Normal"/>
    <w:link w:val="BalloonTextChar"/>
    <w:uiPriority w:val="99"/>
    <w:semiHidden/>
    <w:unhideWhenUsed/>
    <w:rsid w:val="00A37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5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1EDB"/>
    <w:rPr>
      <w:b/>
      <w:bCs/>
    </w:rPr>
  </w:style>
  <w:style w:type="character" w:styleId="Hyperlink">
    <w:name w:val="Hyperlink"/>
    <w:basedOn w:val="DefaultParagraphFont"/>
    <w:uiPriority w:val="99"/>
    <w:unhideWhenUsed/>
    <w:rsid w:val="004F1EDB"/>
    <w:rPr>
      <w:strike w:val="0"/>
      <w:dstrike w:val="0"/>
      <w:color w:val="6481A9"/>
      <w:u w:val="none"/>
      <w:effect w:val="none"/>
    </w:rPr>
  </w:style>
  <w:style w:type="paragraph" w:styleId="NoSpacing">
    <w:name w:val="No Spacing"/>
    <w:uiPriority w:val="1"/>
    <w:qFormat/>
    <w:rsid w:val="00A3750B"/>
    <w:pPr>
      <w:spacing w:after="0" w:line="240" w:lineRule="auto"/>
    </w:pPr>
  </w:style>
  <w:style w:type="paragraph" w:styleId="BalloonText">
    <w:name w:val="Balloon Text"/>
    <w:basedOn w:val="Normal"/>
    <w:link w:val="BalloonTextChar"/>
    <w:uiPriority w:val="99"/>
    <w:semiHidden/>
    <w:unhideWhenUsed/>
    <w:rsid w:val="00A37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36034">
      <w:bodyDiv w:val="1"/>
      <w:marLeft w:val="0"/>
      <w:marRight w:val="0"/>
      <w:marTop w:val="0"/>
      <w:marBottom w:val="0"/>
      <w:divBdr>
        <w:top w:val="none" w:sz="0" w:space="0" w:color="auto"/>
        <w:left w:val="none" w:sz="0" w:space="0" w:color="auto"/>
        <w:bottom w:val="none" w:sz="0" w:space="0" w:color="auto"/>
        <w:right w:val="none" w:sz="0" w:space="0" w:color="auto"/>
      </w:divBdr>
      <w:divsChild>
        <w:div w:id="2052027652">
          <w:marLeft w:val="0"/>
          <w:marRight w:val="0"/>
          <w:marTop w:val="0"/>
          <w:marBottom w:val="0"/>
          <w:divBdr>
            <w:top w:val="none" w:sz="0" w:space="0" w:color="auto"/>
            <w:left w:val="none" w:sz="0" w:space="0" w:color="auto"/>
            <w:bottom w:val="none" w:sz="0" w:space="0" w:color="auto"/>
            <w:right w:val="none" w:sz="0" w:space="0" w:color="auto"/>
          </w:divBdr>
          <w:divsChild>
            <w:div w:id="565072451">
              <w:marLeft w:val="0"/>
              <w:marRight w:val="0"/>
              <w:marTop w:val="0"/>
              <w:marBottom w:val="0"/>
              <w:divBdr>
                <w:top w:val="none" w:sz="0" w:space="0" w:color="auto"/>
                <w:left w:val="none" w:sz="0" w:space="0" w:color="auto"/>
                <w:bottom w:val="none" w:sz="0" w:space="0" w:color="auto"/>
                <w:right w:val="none" w:sz="0" w:space="0" w:color="auto"/>
              </w:divBdr>
              <w:divsChild>
                <w:div w:id="1858303235">
                  <w:marLeft w:val="0"/>
                  <w:marRight w:val="0"/>
                  <w:marTop w:val="0"/>
                  <w:marBottom w:val="0"/>
                  <w:divBdr>
                    <w:top w:val="none" w:sz="0" w:space="0" w:color="auto"/>
                    <w:left w:val="none" w:sz="0" w:space="0" w:color="auto"/>
                    <w:bottom w:val="none" w:sz="0" w:space="0" w:color="auto"/>
                    <w:right w:val="none" w:sz="0" w:space="0" w:color="auto"/>
                  </w:divBdr>
                  <w:divsChild>
                    <w:div w:id="780537413">
                      <w:marLeft w:val="0"/>
                      <w:marRight w:val="0"/>
                      <w:marTop w:val="0"/>
                      <w:marBottom w:val="0"/>
                      <w:divBdr>
                        <w:top w:val="none" w:sz="0" w:space="0" w:color="auto"/>
                        <w:left w:val="none" w:sz="0" w:space="0" w:color="auto"/>
                        <w:bottom w:val="none" w:sz="0" w:space="0" w:color="auto"/>
                        <w:right w:val="none" w:sz="0" w:space="0" w:color="auto"/>
                      </w:divBdr>
                      <w:divsChild>
                        <w:div w:id="530268502">
                          <w:marLeft w:val="0"/>
                          <w:marRight w:val="0"/>
                          <w:marTop w:val="0"/>
                          <w:marBottom w:val="0"/>
                          <w:divBdr>
                            <w:top w:val="none" w:sz="0" w:space="0" w:color="auto"/>
                            <w:left w:val="none" w:sz="0" w:space="0" w:color="auto"/>
                            <w:bottom w:val="none" w:sz="0" w:space="0" w:color="auto"/>
                            <w:right w:val="none" w:sz="0" w:space="0" w:color="auto"/>
                          </w:divBdr>
                          <w:divsChild>
                            <w:div w:id="1801418975">
                              <w:marLeft w:val="0"/>
                              <w:marRight w:val="0"/>
                              <w:marTop w:val="0"/>
                              <w:marBottom w:val="0"/>
                              <w:divBdr>
                                <w:top w:val="none" w:sz="0" w:space="0" w:color="auto"/>
                                <w:left w:val="none" w:sz="0" w:space="0" w:color="auto"/>
                                <w:bottom w:val="none" w:sz="0" w:space="0" w:color="auto"/>
                                <w:right w:val="none" w:sz="0" w:space="0" w:color="auto"/>
                              </w:divBdr>
                              <w:divsChild>
                                <w:div w:id="342556858">
                                  <w:marLeft w:val="0"/>
                                  <w:marRight w:val="0"/>
                                  <w:marTop w:val="0"/>
                                  <w:marBottom w:val="0"/>
                                  <w:divBdr>
                                    <w:top w:val="none" w:sz="0" w:space="0" w:color="auto"/>
                                    <w:left w:val="none" w:sz="0" w:space="0" w:color="auto"/>
                                    <w:bottom w:val="none" w:sz="0" w:space="0" w:color="auto"/>
                                    <w:right w:val="none" w:sz="0" w:space="0" w:color="auto"/>
                                  </w:divBdr>
                                  <w:divsChild>
                                    <w:div w:id="670256344">
                                      <w:marLeft w:val="0"/>
                                      <w:marRight w:val="0"/>
                                      <w:marTop w:val="0"/>
                                      <w:marBottom w:val="0"/>
                                      <w:divBdr>
                                        <w:top w:val="none" w:sz="0" w:space="0" w:color="auto"/>
                                        <w:left w:val="none" w:sz="0" w:space="0" w:color="auto"/>
                                        <w:bottom w:val="none" w:sz="0" w:space="0" w:color="auto"/>
                                        <w:right w:val="none" w:sz="0" w:space="0" w:color="auto"/>
                                      </w:divBdr>
                                      <w:divsChild>
                                        <w:div w:id="997345633">
                                          <w:marLeft w:val="0"/>
                                          <w:marRight w:val="0"/>
                                          <w:marTop w:val="0"/>
                                          <w:marBottom w:val="0"/>
                                          <w:divBdr>
                                            <w:top w:val="none" w:sz="0" w:space="0" w:color="auto"/>
                                            <w:left w:val="none" w:sz="0" w:space="0" w:color="auto"/>
                                            <w:bottom w:val="none" w:sz="0" w:space="0" w:color="auto"/>
                                            <w:right w:val="none" w:sz="0" w:space="0" w:color="auto"/>
                                          </w:divBdr>
                                          <w:divsChild>
                                            <w:div w:id="9983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vestnesis.lv/op/2015/145.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Teodors Bikovskis</dc:creator>
  <cp:lastModifiedBy>Teodors Bikovskis</cp:lastModifiedBy>
  <cp:revision>4</cp:revision>
  <dcterms:created xsi:type="dcterms:W3CDTF">2016-09-23T05:13:00Z</dcterms:created>
  <dcterms:modified xsi:type="dcterms:W3CDTF">2016-09-23T05:46:00Z</dcterms:modified>
</cp:coreProperties>
</file>