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A563A">
        <w:rPr>
          <w:rFonts w:eastAsia="Times New Roman"/>
          <w:bCs/>
          <w:lang w:eastAsia="ar-SA"/>
        </w:rPr>
        <w:t>3</w:t>
      </w:r>
      <w:r w:rsidR="00B30ACB">
        <w:rPr>
          <w:rFonts w:eastAsia="Times New Roman"/>
          <w:bCs/>
          <w:lang w:eastAsia="ar-SA"/>
        </w:rPr>
        <w:t>.</w:t>
      </w:r>
      <w:r w:rsidR="000033DE">
        <w:rPr>
          <w:rFonts w:eastAsia="Times New Roman"/>
          <w:bCs/>
          <w:lang w:eastAsia="ar-SA"/>
        </w:rPr>
        <w:t>okto</w:t>
      </w:r>
      <w:r w:rsidR="00DD7574">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0A563A">
      <w:pPr>
        <w:suppressAutoHyphens/>
        <w:rPr>
          <w:rFonts w:eastAsia="Times New Roman"/>
          <w:b/>
          <w:lang w:eastAsia="en-US"/>
        </w:rPr>
      </w:pPr>
      <w:r>
        <w:rPr>
          <w:rFonts w:eastAsia="Times New Roman"/>
          <w:b/>
          <w:bCs/>
          <w:lang w:eastAsia="en-US"/>
        </w:rPr>
        <w:t xml:space="preserve">Daugavpils Bērnu un jaunatnes sporta skolai </w:t>
      </w:r>
      <w:r w:rsidR="000A563A" w:rsidRPr="000A563A">
        <w:rPr>
          <w:rFonts w:eastAsia="Times New Roman"/>
          <w:b/>
          <w:lang w:eastAsia="en-US"/>
        </w:rPr>
        <w:t>peldēšanas nodaļa</w:t>
      </w:r>
      <w:r w:rsidR="00F0094F">
        <w:rPr>
          <w:rFonts w:eastAsia="Times New Roman"/>
          <w:b/>
          <w:lang w:eastAsia="en-US"/>
        </w:rPr>
        <w:t>s</w:t>
      </w:r>
      <w:r w:rsidR="000A563A" w:rsidRPr="000A563A">
        <w:rPr>
          <w:rFonts w:eastAsia="Times New Roman"/>
          <w:b/>
          <w:lang w:eastAsia="en-US"/>
        </w:rPr>
        <w:t xml:space="preserve"> </w:t>
      </w:r>
      <w:r w:rsidR="000A563A">
        <w:rPr>
          <w:rFonts w:eastAsia="Times New Roman"/>
          <w:b/>
          <w:lang w:eastAsia="en-US"/>
        </w:rPr>
        <w:t>inven</w:t>
      </w:r>
      <w:r w:rsidR="000A563A" w:rsidRPr="000A563A">
        <w:rPr>
          <w:rFonts w:eastAsia="Times New Roman"/>
          <w:b/>
          <w:lang w:eastAsia="en-US"/>
        </w:rPr>
        <w:t>tā</w:t>
      </w:r>
      <w:r w:rsidR="000A563A">
        <w:rPr>
          <w:rFonts w:eastAsia="Times New Roman"/>
          <w:b/>
          <w:lang w:eastAsia="en-US"/>
        </w:rPr>
        <w:t>ra</w:t>
      </w:r>
      <w:r w:rsidR="000A563A" w:rsidRPr="000A563A">
        <w:rPr>
          <w:rFonts w:eastAsia="Times New Roman"/>
          <w:b/>
          <w:lang w:eastAsia="en-US"/>
        </w:rPr>
        <w:t xml:space="preserve"> </w:t>
      </w:r>
      <w:r w:rsidR="000033DE">
        <w:rPr>
          <w:rFonts w:eastAsia="Times New Roman"/>
          <w:b/>
          <w:lang w:eastAsia="en-US"/>
        </w:rPr>
        <w:t>papild</w:t>
      </w:r>
      <w:r w:rsidR="00CA0D29">
        <w:rPr>
          <w:rFonts w:eastAsia="Times New Roman"/>
          <w:b/>
          <w:lang w:eastAsia="en-US"/>
        </w:rPr>
        <w:t xml:space="preserve">us </w:t>
      </w:r>
      <w:r w:rsidR="000F7C69">
        <w:rPr>
          <w:rFonts w:eastAsia="Times New Roman"/>
          <w:b/>
          <w:lang w:eastAsia="en-US"/>
        </w:rPr>
        <w:t>ie</w:t>
      </w:r>
      <w:r w:rsidR="000A563A" w:rsidRPr="000A563A">
        <w:rPr>
          <w:rFonts w:eastAsia="Times New Roman"/>
          <w:b/>
          <w:lang w:eastAsia="en-US"/>
        </w:rPr>
        <w:t>pirkšana</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0A563A" w:rsidP="000033DE">
            <w:pPr>
              <w:suppressAutoHyphens/>
              <w:jc w:val="both"/>
              <w:rPr>
                <w:rFonts w:eastAsia="Times New Roman"/>
                <w:lang w:eastAsia="en-US"/>
              </w:rPr>
            </w:pPr>
            <w:r>
              <w:rPr>
                <w:rFonts w:eastAsia="Times New Roman"/>
                <w:lang w:eastAsia="en-US"/>
              </w:rPr>
              <w:t>Peldēšanas</w:t>
            </w:r>
            <w:r w:rsidR="00ED761A">
              <w:rPr>
                <w:rFonts w:eastAsia="Times New Roman"/>
                <w:lang w:eastAsia="en-US"/>
              </w:rPr>
              <w:t xml:space="preserve"> nodaļas</w:t>
            </w:r>
            <w:r w:rsidR="00DE0361">
              <w:rPr>
                <w:rFonts w:eastAsia="Times New Roman"/>
                <w:lang w:eastAsia="en-US"/>
              </w:rPr>
              <w:t xml:space="preserve"> </w:t>
            </w:r>
            <w:r w:rsidR="00EA5AA3">
              <w:rPr>
                <w:rFonts w:eastAsia="Times New Roman"/>
                <w:lang w:eastAsia="en-US"/>
              </w:rPr>
              <w:t>trener</w:t>
            </w:r>
            <w:r w:rsidR="000033DE">
              <w:rPr>
                <w:rFonts w:eastAsia="Times New Roman"/>
                <w:lang w:eastAsia="en-US"/>
              </w:rPr>
              <w:t>is</w:t>
            </w:r>
            <w:r w:rsidR="00DE0361">
              <w:rPr>
                <w:rFonts w:eastAsia="Times New Roman"/>
                <w:lang w:eastAsia="en-US"/>
              </w:rPr>
              <w:t xml:space="preserve"> </w:t>
            </w:r>
            <w:r w:rsidR="000033DE">
              <w:rPr>
                <w:rFonts w:eastAsia="Times New Roman"/>
                <w:lang w:eastAsia="en-US"/>
              </w:rPr>
              <w:t xml:space="preserve">Raimonds </w:t>
            </w:r>
            <w:proofErr w:type="spellStart"/>
            <w:r w:rsidR="000033DE">
              <w:rPr>
                <w:rFonts w:eastAsia="Times New Roman"/>
                <w:lang w:eastAsia="en-US"/>
              </w:rPr>
              <w:t>Dzalbe</w:t>
            </w:r>
            <w:proofErr w:type="spellEnd"/>
            <w:r w:rsidR="00DE0361">
              <w:rPr>
                <w:rFonts w:eastAsia="Times New Roman"/>
                <w:lang w:eastAsia="en-US"/>
              </w:rPr>
              <w:t xml:space="preserve">, tālr. </w:t>
            </w:r>
            <w:r>
              <w:rPr>
                <w:rFonts w:eastAsia="Times New Roman"/>
                <w:lang w:eastAsia="en-US"/>
              </w:rPr>
              <w:t>22</w:t>
            </w:r>
            <w:r w:rsidR="000033DE">
              <w:rPr>
                <w:rFonts w:eastAsia="Times New Roman"/>
                <w:lang w:eastAsia="en-US"/>
              </w:rPr>
              <w:t>022226</w:t>
            </w:r>
            <w:r w:rsidR="00DE0361">
              <w:rPr>
                <w:rFonts w:eastAsia="Times New Roman"/>
                <w:lang w:eastAsia="en-US"/>
              </w:rPr>
              <w:t xml:space="preserve">, e-pasts: </w:t>
            </w:r>
            <w:hyperlink r:id="rId10"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A563A">
        <w:rPr>
          <w:rFonts w:eastAsia="Times New Roman"/>
          <w:lang w:eastAsia="en-US"/>
        </w:rPr>
        <w:t>peldēšanas</w:t>
      </w:r>
      <w:r w:rsidR="0097080C" w:rsidRPr="0097080C">
        <w:rPr>
          <w:rFonts w:eastAsia="Times New Roman"/>
          <w:lang w:eastAsia="en-US"/>
        </w:rPr>
        <w:t xml:space="preserve"> nodaļai </w:t>
      </w:r>
      <w:r w:rsidR="000A563A">
        <w:rPr>
          <w:rFonts w:eastAsia="Times New Roman"/>
          <w:lang w:eastAsia="en-US"/>
        </w:rPr>
        <w:t xml:space="preserve">inventāra </w:t>
      </w:r>
      <w:r w:rsidR="000033DE">
        <w:rPr>
          <w:rFonts w:eastAsia="Times New Roman"/>
          <w:lang w:eastAsia="en-US"/>
        </w:rPr>
        <w:t>papild</w:t>
      </w:r>
      <w:r w:rsidR="00CA0D29">
        <w:rPr>
          <w:rFonts w:eastAsia="Times New Roman"/>
          <w:lang w:eastAsia="en-US"/>
        </w:rPr>
        <w:t xml:space="preserve">us </w:t>
      </w:r>
      <w:r w:rsidR="000F7C69">
        <w:rPr>
          <w:rFonts w:eastAsia="Times New Roman"/>
          <w:lang w:eastAsia="en-US"/>
        </w:rPr>
        <w:t>ie</w:t>
      </w:r>
      <w:r w:rsidR="0097080C" w:rsidRPr="0097080C">
        <w:rPr>
          <w:rFonts w:eastAsia="Times New Roman"/>
          <w:lang w:eastAsia="en-US"/>
        </w:rPr>
        <w:t>pirkšana</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F7C69">
        <w:rPr>
          <w:rFonts w:eastAsia="Times New Roman"/>
          <w:bCs/>
          <w:lang w:eastAsia="en-US"/>
        </w:rPr>
        <w:t>2</w:t>
      </w:r>
      <w:r w:rsidR="000033DE">
        <w:rPr>
          <w:rFonts w:eastAsia="Times New Roman"/>
          <w:bCs/>
          <w:lang w:eastAsia="en-US"/>
        </w:rPr>
        <w:t>65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0033DE">
        <w:rPr>
          <w:rFonts w:eastAsia="Times New Roman"/>
          <w:bCs/>
          <w:lang w:eastAsia="en-US"/>
        </w:rPr>
        <w:t>20</w:t>
      </w:r>
      <w:r w:rsidR="004D24FD" w:rsidRPr="00EA5AA3">
        <w:rPr>
          <w:rFonts w:eastAsia="Times New Roman"/>
          <w:bCs/>
          <w:lang w:eastAsia="en-US"/>
        </w:rPr>
        <w:t>.</w:t>
      </w:r>
      <w:r w:rsidR="000033DE">
        <w:rPr>
          <w:rFonts w:eastAsia="Times New Roman"/>
          <w:bCs/>
          <w:lang w:eastAsia="en-US"/>
        </w:rPr>
        <w:t>okto</w:t>
      </w:r>
      <w:r w:rsidR="00DD7574">
        <w:rPr>
          <w:rFonts w:eastAsia="Times New Roman"/>
          <w:bCs/>
          <w:lang w:eastAsia="en-US"/>
        </w:rPr>
        <w:t>bris.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0033DE">
        <w:rPr>
          <w:rFonts w:eastAsia="Times New Roman"/>
          <w:b/>
          <w:bCs/>
          <w:lang w:eastAsia="en-US"/>
        </w:rPr>
        <w:t>6</w:t>
      </w:r>
      <w:r w:rsidR="004D24FD" w:rsidRPr="00EA5AA3">
        <w:rPr>
          <w:rFonts w:eastAsia="Times New Roman"/>
          <w:b/>
          <w:bCs/>
          <w:lang w:eastAsia="en-US"/>
        </w:rPr>
        <w:t>.</w:t>
      </w:r>
      <w:r w:rsidR="000033DE">
        <w:rPr>
          <w:rFonts w:eastAsia="Times New Roman"/>
          <w:b/>
          <w:bCs/>
          <w:lang w:eastAsia="en-US"/>
        </w:rPr>
        <w:t>okto</w:t>
      </w:r>
      <w:r w:rsidR="00DD7574">
        <w:rPr>
          <w:rFonts w:eastAsia="Times New Roman"/>
          <w:b/>
          <w:bCs/>
          <w:lang w:eastAsia="en-US"/>
        </w:rPr>
        <w:t>bri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F7C69">
        <w:rPr>
          <w:rFonts w:eastAsia="Times New Roman"/>
          <w:lang w:eastAsia="en-US"/>
        </w:rPr>
        <w:t>peldēšanas</w:t>
      </w:r>
      <w:r w:rsidR="000F7C69" w:rsidRPr="0097080C">
        <w:rPr>
          <w:rFonts w:eastAsia="Times New Roman"/>
          <w:lang w:eastAsia="en-US"/>
        </w:rPr>
        <w:t xml:space="preserve"> nodaļai </w:t>
      </w:r>
      <w:r w:rsidR="000F7C69">
        <w:rPr>
          <w:rFonts w:eastAsia="Times New Roman"/>
          <w:lang w:eastAsia="en-US"/>
        </w:rPr>
        <w:t xml:space="preserve">inventāra </w:t>
      </w:r>
      <w:r w:rsidR="000033DE">
        <w:rPr>
          <w:rFonts w:eastAsia="Times New Roman"/>
          <w:lang w:eastAsia="en-US"/>
        </w:rPr>
        <w:t>papild</w:t>
      </w:r>
      <w:r w:rsidR="00CA0D29">
        <w:rPr>
          <w:rFonts w:eastAsia="Times New Roman"/>
          <w:lang w:eastAsia="en-US"/>
        </w:rPr>
        <w:t xml:space="preserve">us </w:t>
      </w:r>
      <w:r w:rsidR="000F7C69">
        <w:rPr>
          <w:rFonts w:eastAsia="Times New Roman"/>
          <w:lang w:eastAsia="en-US"/>
        </w:rPr>
        <w:t>ie</w:t>
      </w:r>
      <w:r w:rsidR="000F7C69" w:rsidRPr="0097080C">
        <w:rPr>
          <w:rFonts w:eastAsia="Times New Roman"/>
          <w:lang w:eastAsia="en-US"/>
        </w:rPr>
        <w:t>pirkšana</w:t>
      </w:r>
      <w:r w:rsidR="000F7C69">
        <w:rPr>
          <w:rFonts w:eastAsia="Times New Roman"/>
          <w:lang w:eastAsia="en-US"/>
        </w:rPr>
        <w:t>;</w:t>
      </w:r>
    </w:p>
    <w:p w:rsidR="00D94404" w:rsidRPr="000B191D" w:rsidRDefault="00186CB3" w:rsidP="000F7C69">
      <w:pPr>
        <w:suppressAutoHyphens/>
        <w:rPr>
          <w:color w:val="FF0000"/>
        </w:rPr>
      </w:pPr>
      <w:r>
        <w:rPr>
          <w:b/>
        </w:rPr>
        <w:t>Pasūtījuma izpildī</w:t>
      </w:r>
      <w:r w:rsidR="00D94404" w:rsidRPr="00D94404">
        <w:rPr>
          <w:b/>
        </w:rPr>
        <w:t xml:space="preserve">šana: </w:t>
      </w:r>
      <w:r w:rsidR="00B86D8D">
        <w:rPr>
          <w:rFonts w:eastAsia="Times New Roman"/>
          <w:bCs/>
          <w:color w:val="000000"/>
          <w:lang w:eastAsia="en-GB"/>
        </w:rPr>
        <w:t>2016.</w:t>
      </w:r>
      <w:r w:rsidR="00B86D8D" w:rsidRPr="00EA5AA3">
        <w:rPr>
          <w:rFonts w:eastAsia="Times New Roman"/>
          <w:bCs/>
          <w:lang w:eastAsia="en-GB"/>
        </w:rPr>
        <w:t xml:space="preserve">gada </w:t>
      </w:r>
      <w:r w:rsidR="000033DE">
        <w:rPr>
          <w:rFonts w:eastAsia="Times New Roman"/>
          <w:bCs/>
          <w:lang w:eastAsia="en-GB"/>
        </w:rPr>
        <w:t>2</w:t>
      </w:r>
      <w:r w:rsidR="00DD7574">
        <w:rPr>
          <w:rFonts w:eastAsia="Times New Roman"/>
          <w:bCs/>
          <w:lang w:eastAsia="en-GB"/>
        </w:rPr>
        <w:t>0</w:t>
      </w:r>
      <w:r w:rsidR="00ED761A">
        <w:rPr>
          <w:rFonts w:eastAsia="Times New Roman"/>
          <w:bCs/>
          <w:lang w:eastAsia="en-GB"/>
        </w:rPr>
        <w:t>.</w:t>
      </w:r>
      <w:r w:rsidR="000033DE">
        <w:rPr>
          <w:rFonts w:eastAsia="Times New Roman"/>
          <w:bCs/>
          <w:lang w:eastAsia="en-GB"/>
        </w:rPr>
        <w:t>okto</w:t>
      </w:r>
      <w:r w:rsidR="00DD7574">
        <w:rPr>
          <w:rFonts w:eastAsia="Times New Roman"/>
          <w:bCs/>
          <w:lang w:eastAsia="en-GB"/>
        </w:rPr>
        <w:t>bris</w:t>
      </w:r>
    </w:p>
    <w:p w:rsidR="00D94404" w:rsidRDefault="00D94404" w:rsidP="000B191D">
      <w:pPr>
        <w:jc w:val="both"/>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675"/>
        <w:gridCol w:w="2127"/>
        <w:gridCol w:w="6095"/>
        <w:gridCol w:w="1276"/>
      </w:tblGrid>
      <w:tr w:rsidR="00ED761A" w:rsidRPr="00ED761A" w:rsidTr="006743B4">
        <w:tc>
          <w:tcPr>
            <w:tcW w:w="675" w:type="dxa"/>
          </w:tcPr>
          <w:p w:rsidR="00ED761A" w:rsidRPr="00ED761A" w:rsidRDefault="00ED761A" w:rsidP="00ED761A">
            <w:pPr>
              <w:jc w:val="center"/>
              <w:rPr>
                <w:b/>
              </w:rPr>
            </w:pPr>
            <w:proofErr w:type="spellStart"/>
            <w:r>
              <w:rPr>
                <w:b/>
              </w:rPr>
              <w:t>Nr.p.k</w:t>
            </w:r>
            <w:proofErr w:type="spellEnd"/>
            <w:r>
              <w:rPr>
                <w:b/>
              </w:rPr>
              <w:t>.</w:t>
            </w:r>
          </w:p>
        </w:tc>
        <w:tc>
          <w:tcPr>
            <w:tcW w:w="2127" w:type="dxa"/>
          </w:tcPr>
          <w:p w:rsidR="00ED761A" w:rsidRPr="00ED761A" w:rsidRDefault="00ED761A" w:rsidP="00ED761A">
            <w:pPr>
              <w:jc w:val="center"/>
              <w:rPr>
                <w:b/>
              </w:rPr>
            </w:pPr>
            <w:r>
              <w:rPr>
                <w:b/>
              </w:rPr>
              <w:t>Nosaukums</w:t>
            </w:r>
          </w:p>
        </w:tc>
        <w:tc>
          <w:tcPr>
            <w:tcW w:w="6095" w:type="dxa"/>
          </w:tcPr>
          <w:p w:rsidR="00ED761A" w:rsidRPr="00ED761A" w:rsidRDefault="00ED761A" w:rsidP="00ED761A">
            <w:pPr>
              <w:jc w:val="center"/>
              <w:rPr>
                <w:b/>
              </w:rPr>
            </w:pPr>
            <w:r>
              <w:rPr>
                <w:b/>
              </w:rPr>
              <w:t>Apraksts</w:t>
            </w:r>
          </w:p>
        </w:tc>
        <w:tc>
          <w:tcPr>
            <w:tcW w:w="1276" w:type="dxa"/>
          </w:tcPr>
          <w:p w:rsidR="00ED761A" w:rsidRPr="00ED761A" w:rsidRDefault="00ED761A" w:rsidP="00ED761A">
            <w:pPr>
              <w:jc w:val="center"/>
              <w:rPr>
                <w:b/>
              </w:rPr>
            </w:pPr>
            <w:r>
              <w:rPr>
                <w:b/>
              </w:rPr>
              <w:t>Skaits</w:t>
            </w:r>
          </w:p>
        </w:tc>
      </w:tr>
      <w:tr w:rsidR="00ED761A" w:rsidTr="006743B4">
        <w:tc>
          <w:tcPr>
            <w:tcW w:w="675" w:type="dxa"/>
          </w:tcPr>
          <w:p w:rsidR="00ED761A" w:rsidRDefault="00ED761A" w:rsidP="00D94404">
            <w:r>
              <w:t>1.</w:t>
            </w:r>
          </w:p>
        </w:tc>
        <w:tc>
          <w:tcPr>
            <w:tcW w:w="2127" w:type="dxa"/>
          </w:tcPr>
          <w:p w:rsidR="00ED761A" w:rsidRDefault="000033DE" w:rsidP="00BE5937">
            <w:r>
              <w:t>Sporta tērpa apraksts</w:t>
            </w:r>
          </w:p>
          <w:p w:rsidR="00CA0D29" w:rsidRDefault="00CA0D29" w:rsidP="00BE5937">
            <w:r>
              <w:rPr>
                <w:noProof/>
              </w:rPr>
              <w:drawing>
                <wp:inline distT="0" distB="0" distL="0" distR="0" wp14:anchorId="09584BF2" wp14:editId="3C47003B">
                  <wp:extent cx="1494268" cy="1117490"/>
                  <wp:effectExtent l="0" t="1905" r="889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507987" cy="1127750"/>
                          </a:xfrm>
                          <a:prstGeom prst="rect">
                            <a:avLst/>
                          </a:prstGeom>
                          <a:noFill/>
                          <a:extLst/>
                        </pic:spPr>
                      </pic:pic>
                    </a:graphicData>
                  </a:graphic>
                </wp:inline>
              </w:drawing>
            </w:r>
          </w:p>
        </w:tc>
        <w:tc>
          <w:tcPr>
            <w:tcW w:w="6095" w:type="dxa"/>
          </w:tcPr>
          <w:p w:rsidR="000033DE" w:rsidRDefault="000033DE" w:rsidP="000033DE">
            <w:pPr>
              <w:jc w:val="both"/>
            </w:pPr>
            <w:r>
              <w:t xml:space="preserve">Forma nav pārāk apspīlēta vai arī ļoti plata. </w:t>
            </w:r>
          </w:p>
          <w:p w:rsidR="000033DE" w:rsidRDefault="000033DE" w:rsidP="000033DE">
            <w:pPr>
              <w:jc w:val="both"/>
            </w:pPr>
            <w:r>
              <w:rPr>
                <w:b/>
              </w:rPr>
              <w:t>Krekls</w:t>
            </w:r>
            <w:r>
              <w:t xml:space="preserve"> ar īsām piedurknēm, nav pārāk lieli padušu izgriezumi, v</w:t>
            </w:r>
            <w:r>
              <w:t>-</w:t>
            </w:r>
            <w:r>
              <w:t xml:space="preserve">veida </w:t>
            </w:r>
            <w:proofErr w:type="spellStart"/>
            <w:r>
              <w:t>krādziņš</w:t>
            </w:r>
            <w:proofErr w:type="spellEnd"/>
            <w:r>
              <w:t xml:space="preserve">. Krekls ir sašūts ar dubulto plakano </w:t>
            </w:r>
            <w:proofErr w:type="spellStart"/>
            <w:r>
              <w:t>segumdūrienu</w:t>
            </w:r>
            <w:proofErr w:type="spellEnd"/>
            <w:r>
              <w:t xml:space="preserve">, tādā veidā nodrošinot šūto vietu lielāku izturību.  Apkakles aizmugurējās vīles daļa ir apšūta ar speciālu materiālu, lai vīle atbalsta vietā nekairinātu ādu un veiktu arī sviedru uzsūkšanas funkciju. Krekla apakšējā daļa ir nolocīta un atšūta ar dubulto plakano </w:t>
            </w:r>
            <w:proofErr w:type="spellStart"/>
            <w:r>
              <w:t>segumdūrienu</w:t>
            </w:r>
            <w:proofErr w:type="spellEnd"/>
            <w:r>
              <w:t xml:space="preserve">. Krekla pamatkrāsa ir </w:t>
            </w:r>
            <w:r w:rsidRPr="000033DE">
              <w:t>zilā</w:t>
            </w:r>
            <w:r>
              <w:rPr>
                <w:color w:val="FF0000"/>
              </w:rPr>
              <w:t xml:space="preserve"> </w:t>
            </w:r>
            <w:r>
              <w:t>( noteikti jābūt ar dekoratīviem elementiem baltā</w:t>
            </w:r>
            <w:r>
              <w:rPr>
                <w:color w:val="FF0000"/>
              </w:rPr>
              <w:t xml:space="preserve"> </w:t>
            </w:r>
            <w:r>
              <w:t xml:space="preserve">krāsā kreisajā pusē) </w:t>
            </w:r>
          </w:p>
          <w:p w:rsidR="002D7AF9" w:rsidRDefault="000033DE" w:rsidP="000033DE">
            <w:pPr>
              <w:jc w:val="both"/>
            </w:pPr>
            <w:r>
              <w:rPr>
                <w:b/>
              </w:rPr>
              <w:t>Šorti</w:t>
            </w:r>
            <w:r>
              <w:t xml:space="preserve"> ir taisna griezuma. Šortu jostas vietā ir iestrādāta 3 cm plata (viengabalaina) elastīga gumija  un aukla  gurnu daļas savilkšanai un fiksēšanai. Šorti ir  sašūti ar dubulto plakano </w:t>
            </w:r>
            <w:proofErr w:type="spellStart"/>
            <w:r>
              <w:t>segumdūrienu</w:t>
            </w:r>
            <w:proofErr w:type="spellEnd"/>
            <w:r>
              <w:t xml:space="preserve">, tādā veidā nodrošinot šūto vietu lielāku izturību un novēršot vīļu kairinājumu berzes rezultātā. Šortu pamatkrāsa  </w:t>
            </w:r>
            <w:r w:rsidRPr="000033DE">
              <w:t xml:space="preserve">tumši zilā </w:t>
            </w:r>
            <w:r>
              <w:t xml:space="preserve">(noteikti jābūt ar dekoratīviem elementiem </w:t>
            </w:r>
            <w:r w:rsidRPr="000033DE">
              <w:t>baltā</w:t>
            </w:r>
            <w:r>
              <w:rPr>
                <w:color w:val="FF0000"/>
              </w:rPr>
              <w:t xml:space="preserve"> </w:t>
            </w:r>
            <w:r>
              <w:t>krāsā ar vienu svītru sānā). Šortu krāsa ir saskaņota ar krekla krāsu.  Šortu un krekla audumam ir jābūt identiskam.</w:t>
            </w:r>
          </w:p>
          <w:p w:rsidR="006743B4" w:rsidRDefault="006743B4" w:rsidP="000033DE">
            <w:pPr>
              <w:jc w:val="both"/>
            </w:pPr>
            <w:r>
              <w:t>Izmēri – YXS un XXS</w:t>
            </w:r>
          </w:p>
          <w:p w:rsidR="006743B4" w:rsidRPr="00BE5937" w:rsidRDefault="006743B4" w:rsidP="000033DE">
            <w:pPr>
              <w:jc w:val="both"/>
            </w:pPr>
          </w:p>
        </w:tc>
        <w:tc>
          <w:tcPr>
            <w:tcW w:w="1276" w:type="dxa"/>
          </w:tcPr>
          <w:p w:rsidR="00ED761A" w:rsidRDefault="00EC3871" w:rsidP="00BE5937">
            <w:pPr>
              <w:jc w:val="center"/>
            </w:pPr>
            <w:r>
              <w:t>2</w:t>
            </w:r>
            <w:r w:rsidR="000033DE">
              <w:t>0</w:t>
            </w:r>
            <w:r w:rsidR="00ED761A">
              <w:t xml:space="preserve"> </w:t>
            </w:r>
            <w:r w:rsidR="00120122">
              <w:t>gab.</w:t>
            </w:r>
          </w:p>
        </w:tc>
      </w:tr>
      <w:tr w:rsidR="006743B4" w:rsidTr="006743B4">
        <w:tc>
          <w:tcPr>
            <w:tcW w:w="675" w:type="dxa"/>
          </w:tcPr>
          <w:p w:rsidR="006743B4" w:rsidRDefault="006743B4" w:rsidP="00D94404">
            <w:r>
              <w:t>2.</w:t>
            </w:r>
          </w:p>
        </w:tc>
        <w:tc>
          <w:tcPr>
            <w:tcW w:w="2127" w:type="dxa"/>
          </w:tcPr>
          <w:p w:rsidR="006743B4" w:rsidRDefault="006743B4" w:rsidP="00BE5937">
            <w:r>
              <w:t>Materiāla apraksts</w:t>
            </w:r>
          </w:p>
        </w:tc>
        <w:tc>
          <w:tcPr>
            <w:tcW w:w="6095" w:type="dxa"/>
          </w:tcPr>
          <w:p w:rsidR="006743B4" w:rsidRDefault="006743B4" w:rsidP="006743B4">
            <w:pPr>
              <w:tabs>
                <w:tab w:val="left" w:pos="720"/>
                <w:tab w:val="center" w:pos="4153"/>
                <w:tab w:val="right" w:pos="8306"/>
              </w:tabs>
              <w:ind w:hanging="108"/>
              <w:jc w:val="both"/>
            </w:pPr>
            <w:r>
              <w:t>100 % poliestera audums. Materiāla izgatavošanas tehnoloģija  nodrošina tā vieglumu (130 gr/m2 +/- 10 gr) un izturīgumu,  ar sekojošajām īpašībām: antistatisks, antibakteriāls. Materiāls ir  sertificēts, ka tas nav toksisks un alerģisks.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6743B4" w:rsidRDefault="006743B4" w:rsidP="006743B4">
            <w:pPr>
              <w:numPr>
                <w:ilvl w:val="0"/>
                <w:numId w:val="8"/>
              </w:numPr>
              <w:tabs>
                <w:tab w:val="left" w:pos="720"/>
                <w:tab w:val="center" w:pos="4153"/>
                <w:tab w:val="right" w:pos="8306"/>
              </w:tabs>
              <w:spacing w:after="160" w:line="252" w:lineRule="auto"/>
              <w:jc w:val="both"/>
            </w:pPr>
            <w:r>
              <w:t>krāsas noturīgums pret sauso berzi EN ISO 12947-2 vai ekvivalents</w:t>
            </w:r>
          </w:p>
          <w:p w:rsidR="006743B4" w:rsidRDefault="006743B4" w:rsidP="006743B4">
            <w:pPr>
              <w:numPr>
                <w:ilvl w:val="0"/>
                <w:numId w:val="8"/>
              </w:numPr>
              <w:tabs>
                <w:tab w:val="left" w:pos="720"/>
                <w:tab w:val="center" w:pos="4153"/>
                <w:tab w:val="right" w:pos="8306"/>
              </w:tabs>
              <w:spacing w:after="160" w:line="252" w:lineRule="auto"/>
              <w:jc w:val="both"/>
            </w:pPr>
            <w:r>
              <w:t>krāsas noturīgums audumu mazgājot EN ISO 105-C06 vai ekvivalents</w:t>
            </w:r>
          </w:p>
          <w:p w:rsidR="006743B4" w:rsidRDefault="006743B4" w:rsidP="006743B4">
            <w:pPr>
              <w:numPr>
                <w:ilvl w:val="0"/>
                <w:numId w:val="8"/>
              </w:numPr>
              <w:tabs>
                <w:tab w:val="left" w:pos="720"/>
                <w:tab w:val="center" w:pos="4153"/>
                <w:tab w:val="right" w:pos="8306"/>
              </w:tabs>
              <w:spacing w:after="160" w:line="252" w:lineRule="auto"/>
              <w:jc w:val="both"/>
            </w:pPr>
            <w:r>
              <w:t>krāsas noturīgums ķīmiskās tīrīšanas laikā – EN ISO 105-D01 vai ekvivalents</w:t>
            </w:r>
          </w:p>
          <w:p w:rsidR="006743B4" w:rsidRDefault="006743B4" w:rsidP="006743B4">
            <w:pPr>
              <w:numPr>
                <w:ilvl w:val="0"/>
                <w:numId w:val="8"/>
              </w:numPr>
              <w:tabs>
                <w:tab w:val="left" w:pos="720"/>
                <w:tab w:val="center" w:pos="4153"/>
                <w:tab w:val="right" w:pos="8306"/>
              </w:tabs>
              <w:spacing w:after="160" w:line="252" w:lineRule="auto"/>
              <w:jc w:val="both"/>
            </w:pPr>
            <w:r>
              <w:t>krāsas noturīgums pret sviedriem – EN ISO 105-E04-2009 vai ekvivalents</w:t>
            </w:r>
          </w:p>
          <w:p w:rsidR="006743B4" w:rsidRDefault="006743B4" w:rsidP="006743B4">
            <w:pPr>
              <w:numPr>
                <w:ilvl w:val="0"/>
                <w:numId w:val="8"/>
              </w:numPr>
              <w:tabs>
                <w:tab w:val="left" w:pos="720"/>
                <w:tab w:val="center" w:pos="4153"/>
                <w:tab w:val="right" w:pos="8306"/>
              </w:tabs>
              <w:spacing w:after="160" w:line="252" w:lineRule="auto"/>
              <w:jc w:val="both"/>
            </w:pPr>
            <w:r>
              <w:t>krāsas noturīgums pret gaismu – EN ISO 105-B02:2002+A1 vai ekvivalents</w:t>
            </w:r>
          </w:p>
          <w:p w:rsidR="006743B4" w:rsidRDefault="006743B4" w:rsidP="006743B4">
            <w:pPr>
              <w:pStyle w:val="ListParagraph"/>
              <w:numPr>
                <w:ilvl w:val="0"/>
                <w:numId w:val="8"/>
              </w:numPr>
              <w:tabs>
                <w:tab w:val="left" w:pos="720"/>
                <w:tab w:val="center" w:pos="4153"/>
                <w:tab w:val="right" w:pos="8306"/>
              </w:tabs>
              <w:spacing w:after="160" w:line="252" w:lineRule="auto"/>
              <w:jc w:val="both"/>
            </w:pPr>
            <w:r>
              <w:lastRenderedPageBreak/>
              <w:t>izdalītais formaldehīds – EN ISO 14184-1 vai ekvivalents.</w:t>
            </w:r>
          </w:p>
          <w:p w:rsidR="006743B4" w:rsidRDefault="006743B4" w:rsidP="006743B4">
            <w:pPr>
              <w:tabs>
                <w:tab w:val="center" w:pos="4153"/>
                <w:tab w:val="right" w:pos="8306"/>
              </w:tabs>
              <w:ind w:left="360"/>
              <w:jc w:val="both"/>
            </w:pPr>
            <w:r>
              <w:t>Sertifikācijas zīmei jābūt iešūtai vīlē. Tas ir kā apliecinājums, ka nav viltojums un tas nāk no ražotāja.</w:t>
            </w:r>
          </w:p>
          <w:p w:rsidR="006743B4" w:rsidRDefault="006743B4" w:rsidP="000033DE">
            <w:pPr>
              <w:jc w:val="both"/>
            </w:pPr>
          </w:p>
        </w:tc>
        <w:tc>
          <w:tcPr>
            <w:tcW w:w="1276" w:type="dxa"/>
          </w:tcPr>
          <w:p w:rsidR="006743B4" w:rsidRDefault="006743B4" w:rsidP="00BE5937">
            <w:pPr>
              <w:jc w:val="center"/>
            </w:pPr>
          </w:p>
        </w:tc>
      </w:tr>
      <w:tr w:rsidR="006743B4" w:rsidTr="006743B4">
        <w:tc>
          <w:tcPr>
            <w:tcW w:w="675" w:type="dxa"/>
          </w:tcPr>
          <w:p w:rsidR="006743B4" w:rsidRDefault="006743B4" w:rsidP="00D94404">
            <w:r>
              <w:lastRenderedPageBreak/>
              <w:t>3.</w:t>
            </w:r>
          </w:p>
        </w:tc>
        <w:tc>
          <w:tcPr>
            <w:tcW w:w="2127" w:type="dxa"/>
          </w:tcPr>
          <w:p w:rsidR="006743B4" w:rsidRDefault="006743B4" w:rsidP="00BE5937">
            <w:r>
              <w:t>Logotipi</w:t>
            </w:r>
          </w:p>
        </w:tc>
        <w:tc>
          <w:tcPr>
            <w:tcW w:w="6095" w:type="dxa"/>
          </w:tcPr>
          <w:p w:rsidR="006743B4" w:rsidRDefault="006743B4" w:rsidP="006743B4">
            <w:r>
              <w:t xml:space="preserve">Uz muguras </w:t>
            </w:r>
            <w:proofErr w:type="spellStart"/>
            <w:r>
              <w:t>termodrukas</w:t>
            </w:r>
            <w:proofErr w:type="spellEnd"/>
            <w:r>
              <w:t xml:space="preserve"> tehnikā iestrādāts uzraksts „Daugavpils BJSS”  </w:t>
            </w:r>
            <w:r w:rsidRPr="006743B4">
              <w:t>baltā</w:t>
            </w:r>
            <w:r>
              <w:t xml:space="preserve"> krāsā. </w:t>
            </w:r>
            <w:r>
              <w:rPr>
                <w:rFonts w:eastAsia="Times New Roman"/>
              </w:rPr>
              <w:t xml:space="preserve"> </w:t>
            </w:r>
            <w:r>
              <w:t xml:space="preserve"> Mugurpusē burtu augstums no 3 cm līdz 5 cm.. Priekšā – kreisās krūts rajonā VĀRDS </w:t>
            </w:r>
            <w:r w:rsidRPr="006743B4">
              <w:t>zilā</w:t>
            </w:r>
            <w:r>
              <w:t xml:space="preserve"> krāsā.</w:t>
            </w:r>
          </w:p>
          <w:p w:rsidR="006743B4" w:rsidRPr="006743B4" w:rsidRDefault="006743B4" w:rsidP="006743B4">
            <w:r w:rsidRPr="006743B4">
              <w:rPr>
                <w:rFonts w:eastAsia="Times New Roman"/>
              </w:rPr>
              <w:t xml:space="preserve">1.Mugurpusē </w:t>
            </w:r>
            <w:r w:rsidRPr="006743B4">
              <w:t>pa vidu numurs  ne mazāk kā 20 cm augstumā;</w:t>
            </w:r>
          </w:p>
          <w:p w:rsidR="006743B4" w:rsidRDefault="006743B4" w:rsidP="006743B4">
            <w:r w:rsidRPr="006743B4">
              <w:t>2.Uz krūtīm vārds ne mazāk kā 70 mm augstumā;</w:t>
            </w:r>
          </w:p>
          <w:p w:rsidR="006743B4" w:rsidRDefault="006743B4" w:rsidP="006743B4">
            <w:pPr>
              <w:tabs>
                <w:tab w:val="left" w:pos="720"/>
                <w:tab w:val="center" w:pos="4153"/>
                <w:tab w:val="right" w:pos="8306"/>
              </w:tabs>
              <w:ind w:hanging="108"/>
              <w:jc w:val="both"/>
            </w:pPr>
          </w:p>
        </w:tc>
        <w:tc>
          <w:tcPr>
            <w:tcW w:w="1276" w:type="dxa"/>
          </w:tcPr>
          <w:p w:rsidR="006743B4" w:rsidRDefault="006743B4" w:rsidP="00BE5937">
            <w:pPr>
              <w:jc w:val="center"/>
            </w:pPr>
          </w:p>
        </w:tc>
      </w:tr>
      <w:tr w:rsidR="006743B4" w:rsidTr="006743B4">
        <w:tc>
          <w:tcPr>
            <w:tcW w:w="675" w:type="dxa"/>
          </w:tcPr>
          <w:p w:rsidR="006743B4" w:rsidRDefault="006743B4" w:rsidP="00D94404">
            <w:r>
              <w:t>4.</w:t>
            </w:r>
          </w:p>
        </w:tc>
        <w:tc>
          <w:tcPr>
            <w:tcW w:w="2127" w:type="dxa"/>
          </w:tcPr>
          <w:p w:rsidR="006743B4" w:rsidRDefault="006743B4" w:rsidP="00BE5937">
            <w:r>
              <w:t>Iepakojuma un marķējuma (etiķetes) apraksts</w:t>
            </w:r>
          </w:p>
        </w:tc>
        <w:tc>
          <w:tcPr>
            <w:tcW w:w="6095" w:type="dxa"/>
          </w:tcPr>
          <w:p w:rsidR="006743B4" w:rsidRDefault="006743B4" w:rsidP="006743B4">
            <w:r>
              <w:t>Sporta tērpi ir  oriģinālā ražotāja iepakojumā (plastikāta maisiņā) uz kura ir norādīts ražotājs un izmērs. Kreklā un šortos ir iešūtas etiķetes, kur norādīts ražotājs, izmērs, auduma sastāvs un kopšanas rekomendācija.</w:t>
            </w:r>
          </w:p>
          <w:p w:rsidR="006743B4" w:rsidRDefault="006743B4" w:rsidP="006743B4"/>
        </w:tc>
        <w:tc>
          <w:tcPr>
            <w:tcW w:w="1276" w:type="dxa"/>
          </w:tcPr>
          <w:p w:rsidR="006743B4" w:rsidRDefault="006743B4" w:rsidP="00BE5937">
            <w:pPr>
              <w:jc w:val="center"/>
            </w:pPr>
          </w:p>
        </w:tc>
      </w:tr>
      <w:tr w:rsidR="006743B4" w:rsidTr="006743B4">
        <w:tc>
          <w:tcPr>
            <w:tcW w:w="675" w:type="dxa"/>
          </w:tcPr>
          <w:p w:rsidR="006743B4" w:rsidRDefault="006743B4" w:rsidP="00D94404">
            <w:r>
              <w:t>5.</w:t>
            </w:r>
          </w:p>
        </w:tc>
        <w:tc>
          <w:tcPr>
            <w:tcW w:w="2127" w:type="dxa"/>
          </w:tcPr>
          <w:p w:rsidR="006743B4" w:rsidRDefault="006743B4" w:rsidP="00BE5937">
            <w:r>
              <w:t>Kvalitātes prasības</w:t>
            </w:r>
          </w:p>
        </w:tc>
        <w:tc>
          <w:tcPr>
            <w:tcW w:w="6095" w:type="dxa"/>
          </w:tcPr>
          <w:p w:rsidR="006743B4" w:rsidRDefault="006743B4" w:rsidP="006743B4">
            <w:r>
              <w:t>Auduma, vīļu un logotipu izturīguma garantija  24 mēneši. Modelim ir jābūt pieejamam vismaz 3 (trīs) gadus.</w:t>
            </w:r>
          </w:p>
        </w:tc>
        <w:tc>
          <w:tcPr>
            <w:tcW w:w="1276" w:type="dxa"/>
          </w:tcPr>
          <w:p w:rsidR="006743B4" w:rsidRDefault="006743B4" w:rsidP="00BE5937">
            <w:pPr>
              <w:jc w:val="center"/>
            </w:pP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6743B4" w:rsidRDefault="006743B4"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EC3871" w:rsidRDefault="00EC3871" w:rsidP="00763752">
      <w:pPr>
        <w:suppressAutoHyphens/>
        <w:rPr>
          <w:rFonts w:eastAsia="Times New Roman"/>
          <w:lang w:eastAsia="ar-SA"/>
        </w:rPr>
      </w:pPr>
    </w:p>
    <w:p w:rsidR="00F0094F" w:rsidRDefault="00F0094F" w:rsidP="00763752">
      <w:pPr>
        <w:suppressAutoHyphens/>
        <w:rPr>
          <w:rFonts w:eastAsia="Times New Roman"/>
          <w:lang w:eastAsia="ar-SA"/>
        </w:rPr>
      </w:pPr>
    </w:p>
    <w:p w:rsidR="00EC3871" w:rsidRDefault="00EC3871" w:rsidP="00763752">
      <w:pPr>
        <w:suppressAutoHyphens/>
        <w:rPr>
          <w:rFonts w:eastAsia="Times New Roman"/>
          <w:lang w:eastAsia="ar-SA"/>
        </w:rPr>
      </w:pPr>
    </w:p>
    <w:p w:rsidR="00EC3871" w:rsidRDefault="00EC3871"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2016.gada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558B5" w:rsidRPr="00CF1BEC" w:rsidRDefault="003558B5" w:rsidP="00763752">
      <w:pPr>
        <w:tabs>
          <w:tab w:val="left" w:pos="-114"/>
          <w:tab w:val="left" w:pos="-57"/>
        </w:tabs>
        <w:suppressAutoHyphens/>
        <w:jc w:val="center"/>
        <w:rPr>
          <w:rFonts w:eastAsia="Times New Roman"/>
          <w:b/>
          <w:bCs/>
          <w:lang w:eastAsia="ar-SA"/>
        </w:rPr>
      </w:pPr>
    </w:p>
    <w:p w:rsidR="0049759F" w:rsidRDefault="00763752" w:rsidP="00F0094F">
      <w:pPr>
        <w:suppressAutoHyphens/>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C3871" w:rsidRPr="0097080C">
        <w:rPr>
          <w:rFonts w:eastAsia="Times New Roman"/>
          <w:bCs/>
          <w:lang w:eastAsia="en-US"/>
        </w:rPr>
        <w:t xml:space="preserve">Daugavpils Bērnu un jaunatnes sporta skolai </w:t>
      </w:r>
      <w:r w:rsidR="00EC3871">
        <w:rPr>
          <w:rFonts w:eastAsia="Times New Roman"/>
          <w:lang w:eastAsia="en-US"/>
        </w:rPr>
        <w:t>peldēšanas</w:t>
      </w:r>
      <w:r w:rsidR="00EC3871" w:rsidRPr="0097080C">
        <w:rPr>
          <w:rFonts w:eastAsia="Times New Roman"/>
          <w:lang w:eastAsia="en-US"/>
        </w:rPr>
        <w:t xml:space="preserve"> nodaļai </w:t>
      </w:r>
      <w:r w:rsidR="00EC3871">
        <w:rPr>
          <w:rFonts w:eastAsia="Times New Roman"/>
          <w:lang w:eastAsia="en-US"/>
        </w:rPr>
        <w:t>inventāra ie</w:t>
      </w:r>
      <w:r w:rsidR="00EC3871" w:rsidRPr="0097080C">
        <w:rPr>
          <w:rFonts w:eastAsia="Times New Roman"/>
          <w:lang w:eastAsia="en-US"/>
        </w:rPr>
        <w:t>pirkšana</w:t>
      </w:r>
      <w:r w:rsidR="00EC3871">
        <w:rPr>
          <w:rFonts w:eastAsia="Times New Roman"/>
          <w:lang w:eastAsia="en-US"/>
        </w:rPr>
        <w:t>;</w:t>
      </w:r>
    </w:p>
    <w:p w:rsidR="00F0094F" w:rsidRDefault="00F0094F" w:rsidP="00EC3871">
      <w:pPr>
        <w:rPr>
          <w:rFonts w:eastAsia="Times New Roman"/>
          <w:b/>
          <w:lang w:eastAsia="ar-SA"/>
        </w:rPr>
      </w:pP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701"/>
        <w:gridCol w:w="5245"/>
        <w:gridCol w:w="1276"/>
        <w:gridCol w:w="1417"/>
      </w:tblGrid>
      <w:tr w:rsidR="00B62107" w:rsidRPr="00ED761A" w:rsidTr="006743B4">
        <w:tc>
          <w:tcPr>
            <w:tcW w:w="675" w:type="dxa"/>
          </w:tcPr>
          <w:p w:rsidR="00B62107" w:rsidRPr="00ED761A" w:rsidRDefault="00B62107" w:rsidP="00033DD3">
            <w:pPr>
              <w:jc w:val="center"/>
              <w:rPr>
                <w:b/>
              </w:rPr>
            </w:pPr>
            <w:proofErr w:type="spellStart"/>
            <w:r>
              <w:rPr>
                <w:b/>
              </w:rPr>
              <w:t>Nr.p.k</w:t>
            </w:r>
            <w:proofErr w:type="spellEnd"/>
            <w:r>
              <w:rPr>
                <w:b/>
              </w:rPr>
              <w:t>.</w:t>
            </w:r>
          </w:p>
        </w:tc>
        <w:tc>
          <w:tcPr>
            <w:tcW w:w="1701" w:type="dxa"/>
          </w:tcPr>
          <w:p w:rsidR="00B62107" w:rsidRPr="00ED761A" w:rsidRDefault="00B62107" w:rsidP="00033DD3">
            <w:pPr>
              <w:jc w:val="center"/>
              <w:rPr>
                <w:b/>
              </w:rPr>
            </w:pPr>
            <w:r>
              <w:rPr>
                <w:b/>
              </w:rPr>
              <w:t>Nosaukums</w:t>
            </w:r>
          </w:p>
        </w:tc>
        <w:tc>
          <w:tcPr>
            <w:tcW w:w="5245" w:type="dxa"/>
          </w:tcPr>
          <w:p w:rsidR="00B62107" w:rsidRPr="00ED761A" w:rsidRDefault="00B62107" w:rsidP="00033DD3">
            <w:pPr>
              <w:jc w:val="center"/>
              <w:rPr>
                <w:b/>
              </w:rPr>
            </w:pPr>
            <w:r>
              <w:rPr>
                <w:b/>
              </w:rPr>
              <w:t>Apraksts</w:t>
            </w:r>
          </w:p>
        </w:tc>
        <w:tc>
          <w:tcPr>
            <w:tcW w:w="1276" w:type="dxa"/>
          </w:tcPr>
          <w:p w:rsidR="00B62107" w:rsidRPr="00ED761A" w:rsidRDefault="00B62107" w:rsidP="00033DD3">
            <w:pPr>
              <w:jc w:val="center"/>
              <w:rPr>
                <w:b/>
              </w:rPr>
            </w:pPr>
            <w:r>
              <w:rPr>
                <w:b/>
              </w:rPr>
              <w:t>Skaits</w:t>
            </w:r>
          </w:p>
        </w:tc>
        <w:tc>
          <w:tcPr>
            <w:tcW w:w="1417" w:type="dxa"/>
          </w:tcPr>
          <w:p w:rsidR="00B62107" w:rsidRDefault="00B62107" w:rsidP="00033DD3">
            <w:pPr>
              <w:jc w:val="center"/>
              <w:rPr>
                <w:b/>
              </w:rPr>
            </w:pPr>
            <w:r>
              <w:rPr>
                <w:b/>
              </w:rPr>
              <w:t>Cena bez PVN</w:t>
            </w:r>
          </w:p>
        </w:tc>
      </w:tr>
      <w:tr w:rsidR="006743B4" w:rsidTr="006743B4">
        <w:tc>
          <w:tcPr>
            <w:tcW w:w="675" w:type="dxa"/>
          </w:tcPr>
          <w:p w:rsidR="006743B4" w:rsidRDefault="006743B4" w:rsidP="00176EFF">
            <w:r>
              <w:t>1.</w:t>
            </w:r>
          </w:p>
        </w:tc>
        <w:tc>
          <w:tcPr>
            <w:tcW w:w="1701" w:type="dxa"/>
          </w:tcPr>
          <w:p w:rsidR="006743B4" w:rsidRDefault="006743B4" w:rsidP="00176EFF">
            <w:r>
              <w:t>Sporta tērpa apraksts</w:t>
            </w:r>
          </w:p>
          <w:p w:rsidR="00CA0D29" w:rsidRDefault="00CA0D29" w:rsidP="00176EFF">
            <w:r>
              <w:rPr>
                <w:noProof/>
              </w:rPr>
              <w:drawing>
                <wp:inline distT="0" distB="0" distL="0" distR="0" wp14:anchorId="585580EA" wp14:editId="633F8811">
                  <wp:extent cx="1302297" cy="973925"/>
                  <wp:effectExtent l="0" t="7303" r="5398" b="539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17868" cy="985570"/>
                          </a:xfrm>
                          <a:prstGeom prst="rect">
                            <a:avLst/>
                          </a:prstGeom>
                          <a:noFill/>
                          <a:extLst/>
                        </pic:spPr>
                      </pic:pic>
                    </a:graphicData>
                  </a:graphic>
                </wp:inline>
              </w:drawing>
            </w:r>
          </w:p>
        </w:tc>
        <w:tc>
          <w:tcPr>
            <w:tcW w:w="5245" w:type="dxa"/>
          </w:tcPr>
          <w:p w:rsidR="006743B4" w:rsidRDefault="006743B4" w:rsidP="00176EFF">
            <w:pPr>
              <w:jc w:val="both"/>
            </w:pPr>
            <w:r>
              <w:t xml:space="preserve">Forma nav pārāk apspīlēta vai arī ļoti plata. </w:t>
            </w:r>
          </w:p>
          <w:p w:rsidR="006743B4" w:rsidRDefault="006743B4" w:rsidP="00176EFF">
            <w:pPr>
              <w:jc w:val="both"/>
            </w:pPr>
            <w:r>
              <w:rPr>
                <w:b/>
              </w:rPr>
              <w:t>Krekls</w:t>
            </w:r>
            <w:r>
              <w:t xml:space="preserve"> ar īsām piedurknēm, nav pārāk lieli padušu izgriezumi, v</w:t>
            </w:r>
            <w:r>
              <w:t>-</w:t>
            </w:r>
            <w:r>
              <w:t xml:space="preserve">veida </w:t>
            </w:r>
            <w:proofErr w:type="spellStart"/>
            <w:r>
              <w:t>krādziņš</w:t>
            </w:r>
            <w:proofErr w:type="spellEnd"/>
            <w:r>
              <w:t xml:space="preserve">. Krekls ir sašūts ar dubulto plakano </w:t>
            </w:r>
            <w:proofErr w:type="spellStart"/>
            <w:r>
              <w:t>segumdūrienu</w:t>
            </w:r>
            <w:proofErr w:type="spellEnd"/>
            <w:r>
              <w:t xml:space="preserve">, tādā veidā nodrošinot šūto vietu lielāku izturību.  Apkakles aizmugurējās vīles daļa ir apšūta ar speciālu materiālu, lai vīle atbalsta vietā nekairinātu ādu un veiktu arī sviedru uzsūkšanas funkciju. Krekla apakšējā daļa ir nolocīta un atšūta ar dubulto plakano </w:t>
            </w:r>
            <w:proofErr w:type="spellStart"/>
            <w:r>
              <w:t>segumdūrienu</w:t>
            </w:r>
            <w:proofErr w:type="spellEnd"/>
            <w:r>
              <w:t xml:space="preserve">. Krekla pamatkrāsa ir </w:t>
            </w:r>
            <w:r w:rsidRPr="000033DE">
              <w:t>zilā</w:t>
            </w:r>
            <w:r>
              <w:rPr>
                <w:color w:val="FF0000"/>
              </w:rPr>
              <w:t xml:space="preserve"> </w:t>
            </w:r>
            <w:r>
              <w:t>( noteikti jābūt ar dekoratīviem elementiem baltā</w:t>
            </w:r>
            <w:r>
              <w:rPr>
                <w:color w:val="FF0000"/>
              </w:rPr>
              <w:t xml:space="preserve"> </w:t>
            </w:r>
            <w:r>
              <w:t xml:space="preserve">krāsā kreisajā pusē) </w:t>
            </w:r>
          </w:p>
          <w:p w:rsidR="006743B4" w:rsidRDefault="006743B4" w:rsidP="00176EFF">
            <w:pPr>
              <w:jc w:val="both"/>
            </w:pPr>
            <w:r>
              <w:rPr>
                <w:b/>
              </w:rPr>
              <w:t>Šorti</w:t>
            </w:r>
            <w:r>
              <w:t xml:space="preserve"> ir taisna griezuma. Šortu jostas vietā ir iestrādāta 3 cm plata (viengabalaina) elastīga gumija  un aukla  gurnu daļas savilkšanai un fiksēšanai. Šorti ir  sašūti ar dubulto plakano </w:t>
            </w:r>
            <w:proofErr w:type="spellStart"/>
            <w:r>
              <w:t>segumdūrienu</w:t>
            </w:r>
            <w:proofErr w:type="spellEnd"/>
            <w:r>
              <w:t xml:space="preserve">, tādā veidā nodrošinot šūto vietu lielāku izturību un novēršot vīļu kairinājumu berzes rezultātā. Šortu pamatkrāsa  </w:t>
            </w:r>
            <w:r w:rsidRPr="000033DE">
              <w:t xml:space="preserve">tumši zilā </w:t>
            </w:r>
            <w:r>
              <w:t xml:space="preserve">(noteikti jābūt ar dekoratīviem elementiem </w:t>
            </w:r>
            <w:r w:rsidRPr="000033DE">
              <w:t>baltā</w:t>
            </w:r>
            <w:r>
              <w:rPr>
                <w:color w:val="FF0000"/>
              </w:rPr>
              <w:t xml:space="preserve"> </w:t>
            </w:r>
            <w:r>
              <w:t>krāsā ar vienu svītru sānā). Šortu krāsa ir saskaņota ar krekla krāsu.  Šortu un krekla audumam ir jābūt identiskam.</w:t>
            </w:r>
          </w:p>
          <w:p w:rsidR="006743B4" w:rsidRDefault="006743B4" w:rsidP="00176EFF">
            <w:pPr>
              <w:jc w:val="both"/>
            </w:pPr>
            <w:r>
              <w:t>Izmēri – YXS un XXS</w:t>
            </w:r>
          </w:p>
          <w:p w:rsidR="006743B4" w:rsidRPr="00BE5937" w:rsidRDefault="006743B4" w:rsidP="00176EFF">
            <w:pPr>
              <w:jc w:val="both"/>
            </w:pPr>
          </w:p>
        </w:tc>
        <w:tc>
          <w:tcPr>
            <w:tcW w:w="1276" w:type="dxa"/>
          </w:tcPr>
          <w:p w:rsidR="006743B4" w:rsidRDefault="006743B4" w:rsidP="00186CB3">
            <w:pPr>
              <w:jc w:val="center"/>
            </w:pPr>
            <w:r>
              <w:t>20 gab.</w:t>
            </w:r>
          </w:p>
        </w:tc>
        <w:tc>
          <w:tcPr>
            <w:tcW w:w="1417" w:type="dxa"/>
          </w:tcPr>
          <w:p w:rsidR="006743B4" w:rsidRDefault="006743B4" w:rsidP="00033DD3"/>
        </w:tc>
        <w:bookmarkStart w:id="2" w:name="_GoBack"/>
        <w:bookmarkEnd w:id="2"/>
      </w:tr>
      <w:tr w:rsidR="006743B4" w:rsidTr="006743B4">
        <w:tc>
          <w:tcPr>
            <w:tcW w:w="675" w:type="dxa"/>
          </w:tcPr>
          <w:p w:rsidR="006743B4" w:rsidRDefault="006743B4" w:rsidP="00176EFF">
            <w:r>
              <w:lastRenderedPageBreak/>
              <w:t>2.</w:t>
            </w:r>
          </w:p>
        </w:tc>
        <w:tc>
          <w:tcPr>
            <w:tcW w:w="1701" w:type="dxa"/>
          </w:tcPr>
          <w:p w:rsidR="006743B4" w:rsidRDefault="006743B4" w:rsidP="00176EFF">
            <w:r>
              <w:t>Materiāla apraksts</w:t>
            </w:r>
          </w:p>
        </w:tc>
        <w:tc>
          <w:tcPr>
            <w:tcW w:w="5245" w:type="dxa"/>
          </w:tcPr>
          <w:p w:rsidR="006743B4" w:rsidRDefault="006743B4" w:rsidP="00176EFF">
            <w:pPr>
              <w:tabs>
                <w:tab w:val="left" w:pos="720"/>
                <w:tab w:val="center" w:pos="4153"/>
                <w:tab w:val="right" w:pos="8306"/>
              </w:tabs>
              <w:ind w:hanging="108"/>
              <w:jc w:val="both"/>
            </w:pPr>
            <w:r>
              <w:t>100 % poliestera audums. Materiāla izgatavošanas tehnoloģija  nodrošina tā vieglumu (130 gr/m2 +/- 10 gr) un izturīgumu,  ar sekojošajām īpašībām: antistatisks, antibakteriāls. Materiāls ir  sertificēts, ka tas nav toksisks un alerģisks.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6743B4" w:rsidRDefault="006743B4" w:rsidP="00176EFF">
            <w:pPr>
              <w:numPr>
                <w:ilvl w:val="0"/>
                <w:numId w:val="8"/>
              </w:numPr>
              <w:tabs>
                <w:tab w:val="left" w:pos="720"/>
                <w:tab w:val="center" w:pos="4153"/>
                <w:tab w:val="right" w:pos="8306"/>
              </w:tabs>
              <w:spacing w:after="160" w:line="252" w:lineRule="auto"/>
              <w:jc w:val="both"/>
            </w:pPr>
            <w:r>
              <w:t>krāsas noturīgums pret sauso berzi EN ISO 12947-2 vai ekvivalents</w:t>
            </w:r>
          </w:p>
          <w:p w:rsidR="006743B4" w:rsidRDefault="006743B4" w:rsidP="00176EFF">
            <w:pPr>
              <w:numPr>
                <w:ilvl w:val="0"/>
                <w:numId w:val="8"/>
              </w:numPr>
              <w:tabs>
                <w:tab w:val="left" w:pos="720"/>
                <w:tab w:val="center" w:pos="4153"/>
                <w:tab w:val="right" w:pos="8306"/>
              </w:tabs>
              <w:spacing w:after="160" w:line="252" w:lineRule="auto"/>
              <w:jc w:val="both"/>
            </w:pPr>
            <w:r>
              <w:t>krāsas noturīgums audumu mazgājot EN ISO 105-C06 vai ekvivalents</w:t>
            </w:r>
          </w:p>
          <w:p w:rsidR="006743B4" w:rsidRDefault="006743B4" w:rsidP="00176EFF">
            <w:pPr>
              <w:numPr>
                <w:ilvl w:val="0"/>
                <w:numId w:val="8"/>
              </w:numPr>
              <w:tabs>
                <w:tab w:val="left" w:pos="720"/>
                <w:tab w:val="center" w:pos="4153"/>
                <w:tab w:val="right" w:pos="8306"/>
              </w:tabs>
              <w:spacing w:after="160" w:line="252" w:lineRule="auto"/>
              <w:jc w:val="both"/>
            </w:pPr>
            <w:r>
              <w:t>krāsas noturīgums ķīmiskās tīrīšanas laikā – EN ISO 105-D01 vai ekvivalents</w:t>
            </w:r>
          </w:p>
          <w:p w:rsidR="006743B4" w:rsidRDefault="006743B4" w:rsidP="00176EFF">
            <w:pPr>
              <w:numPr>
                <w:ilvl w:val="0"/>
                <w:numId w:val="8"/>
              </w:numPr>
              <w:tabs>
                <w:tab w:val="left" w:pos="720"/>
                <w:tab w:val="center" w:pos="4153"/>
                <w:tab w:val="right" w:pos="8306"/>
              </w:tabs>
              <w:spacing w:after="160" w:line="252" w:lineRule="auto"/>
              <w:jc w:val="both"/>
            </w:pPr>
            <w:r>
              <w:t>krāsas noturīgums pret sviedriem – EN ISO 105-E04-2009 vai ekvivalents</w:t>
            </w:r>
          </w:p>
          <w:p w:rsidR="006743B4" w:rsidRDefault="006743B4" w:rsidP="00176EFF">
            <w:pPr>
              <w:numPr>
                <w:ilvl w:val="0"/>
                <w:numId w:val="8"/>
              </w:numPr>
              <w:tabs>
                <w:tab w:val="left" w:pos="720"/>
                <w:tab w:val="center" w:pos="4153"/>
                <w:tab w:val="right" w:pos="8306"/>
              </w:tabs>
              <w:spacing w:after="160" w:line="252" w:lineRule="auto"/>
              <w:jc w:val="both"/>
            </w:pPr>
            <w:r>
              <w:t>krāsas noturīgums pret gaismu – EN ISO 105-B02:2002+A1 vai ekvivalents</w:t>
            </w:r>
          </w:p>
          <w:p w:rsidR="006743B4" w:rsidRDefault="006743B4" w:rsidP="00176EFF">
            <w:pPr>
              <w:pStyle w:val="ListParagraph"/>
              <w:numPr>
                <w:ilvl w:val="0"/>
                <w:numId w:val="8"/>
              </w:numPr>
              <w:tabs>
                <w:tab w:val="left" w:pos="720"/>
                <w:tab w:val="center" w:pos="4153"/>
                <w:tab w:val="right" w:pos="8306"/>
              </w:tabs>
              <w:spacing w:after="160" w:line="252" w:lineRule="auto"/>
              <w:jc w:val="both"/>
            </w:pPr>
            <w:r>
              <w:t>izdalītais formaldehīds – EN ISO 14184-1 vai ekvivalents.</w:t>
            </w:r>
          </w:p>
          <w:p w:rsidR="006743B4" w:rsidRDefault="006743B4" w:rsidP="00176EFF">
            <w:pPr>
              <w:tabs>
                <w:tab w:val="center" w:pos="4153"/>
                <w:tab w:val="right" w:pos="8306"/>
              </w:tabs>
              <w:ind w:left="360"/>
              <w:jc w:val="both"/>
            </w:pPr>
            <w:r>
              <w:t>Sertifikācijas zīmei jābūt iešūtai vīlē. Tas ir kā apliecinājums, ka nav viltojums un tas nāk no ražotāja.</w:t>
            </w:r>
          </w:p>
          <w:p w:rsidR="006743B4" w:rsidRDefault="006743B4" w:rsidP="00176EFF">
            <w:pPr>
              <w:jc w:val="both"/>
            </w:pPr>
          </w:p>
        </w:tc>
        <w:tc>
          <w:tcPr>
            <w:tcW w:w="1276" w:type="dxa"/>
          </w:tcPr>
          <w:p w:rsidR="006743B4" w:rsidRDefault="006743B4" w:rsidP="00186CB3">
            <w:pPr>
              <w:jc w:val="center"/>
            </w:pPr>
          </w:p>
        </w:tc>
        <w:tc>
          <w:tcPr>
            <w:tcW w:w="1417" w:type="dxa"/>
          </w:tcPr>
          <w:p w:rsidR="006743B4" w:rsidRDefault="006743B4" w:rsidP="00033DD3"/>
        </w:tc>
      </w:tr>
      <w:tr w:rsidR="006743B4" w:rsidTr="006743B4">
        <w:tc>
          <w:tcPr>
            <w:tcW w:w="675" w:type="dxa"/>
          </w:tcPr>
          <w:p w:rsidR="006743B4" w:rsidRDefault="006743B4" w:rsidP="00176EFF">
            <w:r>
              <w:t>3.</w:t>
            </w:r>
          </w:p>
        </w:tc>
        <w:tc>
          <w:tcPr>
            <w:tcW w:w="1701" w:type="dxa"/>
          </w:tcPr>
          <w:p w:rsidR="006743B4" w:rsidRDefault="006743B4" w:rsidP="00176EFF">
            <w:r>
              <w:t>Logotipi</w:t>
            </w:r>
          </w:p>
        </w:tc>
        <w:tc>
          <w:tcPr>
            <w:tcW w:w="5245" w:type="dxa"/>
          </w:tcPr>
          <w:p w:rsidR="006743B4" w:rsidRDefault="006743B4" w:rsidP="00176EFF">
            <w:r>
              <w:t xml:space="preserve">Uz muguras </w:t>
            </w:r>
            <w:proofErr w:type="spellStart"/>
            <w:r>
              <w:t>termodrukas</w:t>
            </w:r>
            <w:proofErr w:type="spellEnd"/>
            <w:r>
              <w:t xml:space="preserve"> tehnikā iestrādāts uzraksts „Daugavpils BJSS”  </w:t>
            </w:r>
            <w:r w:rsidRPr="006743B4">
              <w:t>baltā</w:t>
            </w:r>
            <w:r>
              <w:t xml:space="preserve"> krāsā. </w:t>
            </w:r>
            <w:r>
              <w:rPr>
                <w:rFonts w:eastAsia="Times New Roman"/>
              </w:rPr>
              <w:t xml:space="preserve"> </w:t>
            </w:r>
            <w:r>
              <w:t xml:space="preserve"> Mugurpusē burtu augstums no 3 cm līdz 5 cm.. Priekšā – kreisās krūts rajonā VĀRDS </w:t>
            </w:r>
            <w:r w:rsidRPr="006743B4">
              <w:t>zilā</w:t>
            </w:r>
            <w:r>
              <w:t xml:space="preserve"> krāsā.</w:t>
            </w:r>
          </w:p>
          <w:p w:rsidR="006743B4" w:rsidRPr="006743B4" w:rsidRDefault="006743B4" w:rsidP="00176EFF">
            <w:r w:rsidRPr="006743B4">
              <w:rPr>
                <w:rFonts w:eastAsia="Times New Roman"/>
              </w:rPr>
              <w:t xml:space="preserve">1.Mugurpusē </w:t>
            </w:r>
            <w:r w:rsidRPr="006743B4">
              <w:t>pa vidu numurs  ne mazāk kā 20 cm augstumā;</w:t>
            </w:r>
          </w:p>
          <w:p w:rsidR="006743B4" w:rsidRDefault="006743B4" w:rsidP="00176EFF">
            <w:r w:rsidRPr="006743B4">
              <w:t>2.Uz krūtīm vārds ne mazāk kā 70 mm augstumā;</w:t>
            </w:r>
          </w:p>
          <w:p w:rsidR="006743B4" w:rsidRDefault="006743B4" w:rsidP="00176EFF">
            <w:pPr>
              <w:tabs>
                <w:tab w:val="left" w:pos="720"/>
                <w:tab w:val="center" w:pos="4153"/>
                <w:tab w:val="right" w:pos="8306"/>
              </w:tabs>
              <w:ind w:hanging="108"/>
              <w:jc w:val="both"/>
            </w:pPr>
          </w:p>
        </w:tc>
        <w:tc>
          <w:tcPr>
            <w:tcW w:w="1276" w:type="dxa"/>
          </w:tcPr>
          <w:p w:rsidR="006743B4" w:rsidRDefault="006743B4" w:rsidP="00186CB3">
            <w:pPr>
              <w:jc w:val="center"/>
            </w:pPr>
          </w:p>
        </w:tc>
        <w:tc>
          <w:tcPr>
            <w:tcW w:w="1417" w:type="dxa"/>
          </w:tcPr>
          <w:p w:rsidR="006743B4" w:rsidRDefault="006743B4" w:rsidP="00033DD3"/>
        </w:tc>
      </w:tr>
      <w:tr w:rsidR="006743B4" w:rsidTr="006743B4">
        <w:tc>
          <w:tcPr>
            <w:tcW w:w="675" w:type="dxa"/>
          </w:tcPr>
          <w:p w:rsidR="006743B4" w:rsidRDefault="006743B4" w:rsidP="00176EFF">
            <w:r>
              <w:t>4.</w:t>
            </w:r>
          </w:p>
        </w:tc>
        <w:tc>
          <w:tcPr>
            <w:tcW w:w="1701" w:type="dxa"/>
          </w:tcPr>
          <w:p w:rsidR="006743B4" w:rsidRDefault="006743B4" w:rsidP="00176EFF">
            <w:r>
              <w:t>Iepakojuma un marķējuma (etiķetes) apraksts</w:t>
            </w:r>
          </w:p>
        </w:tc>
        <w:tc>
          <w:tcPr>
            <w:tcW w:w="5245" w:type="dxa"/>
          </w:tcPr>
          <w:p w:rsidR="006743B4" w:rsidRDefault="006743B4" w:rsidP="00176EFF">
            <w:r>
              <w:t>Sporta tērpi ir  oriģinālā ražotāja iepakojumā (plastikāta maisiņā) uz kura ir norādīts ražotājs un izmērs. Kreklā un šortos ir iešūtas etiķetes, kur norādīts ražotājs, izmērs, auduma sastāvs un kopšanas rekomendācija.</w:t>
            </w:r>
          </w:p>
          <w:p w:rsidR="006743B4" w:rsidRDefault="006743B4" w:rsidP="00176EFF"/>
        </w:tc>
        <w:tc>
          <w:tcPr>
            <w:tcW w:w="1276" w:type="dxa"/>
          </w:tcPr>
          <w:p w:rsidR="006743B4" w:rsidRDefault="006743B4" w:rsidP="00186CB3">
            <w:pPr>
              <w:jc w:val="center"/>
            </w:pPr>
          </w:p>
        </w:tc>
        <w:tc>
          <w:tcPr>
            <w:tcW w:w="1417" w:type="dxa"/>
          </w:tcPr>
          <w:p w:rsidR="006743B4" w:rsidRDefault="006743B4" w:rsidP="00033DD3"/>
        </w:tc>
      </w:tr>
      <w:tr w:rsidR="006743B4" w:rsidTr="006743B4">
        <w:tc>
          <w:tcPr>
            <w:tcW w:w="675" w:type="dxa"/>
          </w:tcPr>
          <w:p w:rsidR="006743B4" w:rsidRDefault="006743B4" w:rsidP="00176EFF">
            <w:r>
              <w:t>5.</w:t>
            </w:r>
          </w:p>
        </w:tc>
        <w:tc>
          <w:tcPr>
            <w:tcW w:w="1701" w:type="dxa"/>
          </w:tcPr>
          <w:p w:rsidR="006743B4" w:rsidRDefault="006743B4" w:rsidP="00176EFF">
            <w:r>
              <w:t>Kvalitātes prasības</w:t>
            </w:r>
          </w:p>
        </w:tc>
        <w:tc>
          <w:tcPr>
            <w:tcW w:w="5245" w:type="dxa"/>
          </w:tcPr>
          <w:p w:rsidR="006743B4" w:rsidRDefault="006743B4" w:rsidP="00176EFF">
            <w:r>
              <w:t>Auduma, vīļu un logotipu izturīguma garantija  24 mēneši. Modelim ir jābūt pieejamam vismaz 3 (trīs) gadus.</w:t>
            </w:r>
          </w:p>
        </w:tc>
        <w:tc>
          <w:tcPr>
            <w:tcW w:w="1276" w:type="dxa"/>
          </w:tcPr>
          <w:p w:rsidR="006743B4" w:rsidRDefault="006743B4" w:rsidP="00186CB3">
            <w:pPr>
              <w:jc w:val="center"/>
            </w:pPr>
          </w:p>
        </w:tc>
        <w:tc>
          <w:tcPr>
            <w:tcW w:w="1417" w:type="dxa"/>
          </w:tcPr>
          <w:p w:rsidR="006743B4" w:rsidRDefault="006743B4" w:rsidP="00033DD3"/>
        </w:tc>
      </w:tr>
      <w:tr w:rsidR="006743B4" w:rsidTr="006743B4">
        <w:tc>
          <w:tcPr>
            <w:tcW w:w="7621"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276" w:type="dxa"/>
          </w:tcPr>
          <w:p w:rsidR="006743B4" w:rsidRDefault="006743B4" w:rsidP="00033DD3"/>
        </w:tc>
        <w:tc>
          <w:tcPr>
            <w:tcW w:w="1417" w:type="dxa"/>
          </w:tcPr>
          <w:p w:rsidR="006743B4" w:rsidRDefault="006743B4" w:rsidP="00033DD3"/>
        </w:tc>
      </w:tr>
    </w:tbl>
    <w:p w:rsidR="0097156E" w:rsidRDefault="0097156E" w:rsidP="00BB6F93"/>
    <w:p w:rsidR="00F0094F" w:rsidRDefault="00F0094F" w:rsidP="00BB6F93"/>
    <w:p w:rsidR="00F0094F" w:rsidRDefault="00F0094F" w:rsidP="00BB6F93"/>
    <w:p w:rsidR="00F0094F" w:rsidRDefault="00F0094F" w:rsidP="00BB6F93"/>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00" w:rsidRDefault="00AD1500" w:rsidP="00B46840">
      <w:r>
        <w:separator/>
      </w:r>
    </w:p>
  </w:endnote>
  <w:endnote w:type="continuationSeparator" w:id="0">
    <w:p w:rsidR="00AD1500" w:rsidRDefault="00AD150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00" w:rsidRDefault="00AD1500" w:rsidP="00B46840">
      <w:r>
        <w:separator/>
      </w:r>
    </w:p>
  </w:footnote>
  <w:footnote w:type="continuationSeparator" w:id="0">
    <w:p w:rsidR="00AD1500" w:rsidRDefault="00AD150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33DE"/>
    <w:rsid w:val="00017FE6"/>
    <w:rsid w:val="00021100"/>
    <w:rsid w:val="000729D6"/>
    <w:rsid w:val="000A3350"/>
    <w:rsid w:val="000A563A"/>
    <w:rsid w:val="000B0AE8"/>
    <w:rsid w:val="000B191D"/>
    <w:rsid w:val="000D2491"/>
    <w:rsid w:val="000E066E"/>
    <w:rsid w:val="000F5930"/>
    <w:rsid w:val="000F7C69"/>
    <w:rsid w:val="00112826"/>
    <w:rsid w:val="00112B16"/>
    <w:rsid w:val="001143E1"/>
    <w:rsid w:val="00120122"/>
    <w:rsid w:val="00166BFD"/>
    <w:rsid w:val="00174430"/>
    <w:rsid w:val="00186CB3"/>
    <w:rsid w:val="001A0389"/>
    <w:rsid w:val="001B609A"/>
    <w:rsid w:val="00233F93"/>
    <w:rsid w:val="002455FF"/>
    <w:rsid w:val="00275CFC"/>
    <w:rsid w:val="00290D7C"/>
    <w:rsid w:val="002B2824"/>
    <w:rsid w:val="002B3BA9"/>
    <w:rsid w:val="002B594E"/>
    <w:rsid w:val="002C11B5"/>
    <w:rsid w:val="002D5AD1"/>
    <w:rsid w:val="002D7AF9"/>
    <w:rsid w:val="00334204"/>
    <w:rsid w:val="00352C4E"/>
    <w:rsid w:val="003558B5"/>
    <w:rsid w:val="00371F4F"/>
    <w:rsid w:val="003B48A9"/>
    <w:rsid w:val="003C16B3"/>
    <w:rsid w:val="003D2D91"/>
    <w:rsid w:val="003E1B46"/>
    <w:rsid w:val="003F3035"/>
    <w:rsid w:val="0040504F"/>
    <w:rsid w:val="00451A1F"/>
    <w:rsid w:val="004665CE"/>
    <w:rsid w:val="0049759F"/>
    <w:rsid w:val="004A325E"/>
    <w:rsid w:val="004C2D2D"/>
    <w:rsid w:val="004D24FD"/>
    <w:rsid w:val="00531F4A"/>
    <w:rsid w:val="00540E72"/>
    <w:rsid w:val="00577639"/>
    <w:rsid w:val="00596797"/>
    <w:rsid w:val="005D5EF3"/>
    <w:rsid w:val="005F1A5D"/>
    <w:rsid w:val="0063486E"/>
    <w:rsid w:val="00636F05"/>
    <w:rsid w:val="006526BA"/>
    <w:rsid w:val="006743B4"/>
    <w:rsid w:val="006C40E1"/>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387A"/>
    <w:rsid w:val="008C6DC8"/>
    <w:rsid w:val="008E4FCD"/>
    <w:rsid w:val="008E7C41"/>
    <w:rsid w:val="0092163D"/>
    <w:rsid w:val="00945D34"/>
    <w:rsid w:val="009523F5"/>
    <w:rsid w:val="00961330"/>
    <w:rsid w:val="0097080C"/>
    <w:rsid w:val="0097156E"/>
    <w:rsid w:val="009C0406"/>
    <w:rsid w:val="009D10A2"/>
    <w:rsid w:val="009E7E33"/>
    <w:rsid w:val="009F3ED2"/>
    <w:rsid w:val="00A02666"/>
    <w:rsid w:val="00A77762"/>
    <w:rsid w:val="00AC26BE"/>
    <w:rsid w:val="00AC3C94"/>
    <w:rsid w:val="00AD1500"/>
    <w:rsid w:val="00AD2F6C"/>
    <w:rsid w:val="00B102D2"/>
    <w:rsid w:val="00B3022C"/>
    <w:rsid w:val="00B30ACB"/>
    <w:rsid w:val="00B35CEE"/>
    <w:rsid w:val="00B4358F"/>
    <w:rsid w:val="00B46840"/>
    <w:rsid w:val="00B5550B"/>
    <w:rsid w:val="00B62107"/>
    <w:rsid w:val="00B67253"/>
    <w:rsid w:val="00B86D8D"/>
    <w:rsid w:val="00B92AA4"/>
    <w:rsid w:val="00BA5C81"/>
    <w:rsid w:val="00BB6F93"/>
    <w:rsid w:val="00BD2B8B"/>
    <w:rsid w:val="00BE5937"/>
    <w:rsid w:val="00BF6601"/>
    <w:rsid w:val="00C208B7"/>
    <w:rsid w:val="00C41094"/>
    <w:rsid w:val="00C50DEA"/>
    <w:rsid w:val="00C62424"/>
    <w:rsid w:val="00CA0D29"/>
    <w:rsid w:val="00CC56D3"/>
    <w:rsid w:val="00CD64D2"/>
    <w:rsid w:val="00CE273B"/>
    <w:rsid w:val="00CE2CF3"/>
    <w:rsid w:val="00CF1BEC"/>
    <w:rsid w:val="00D211C9"/>
    <w:rsid w:val="00D23CDB"/>
    <w:rsid w:val="00D43017"/>
    <w:rsid w:val="00D6550A"/>
    <w:rsid w:val="00D662FF"/>
    <w:rsid w:val="00D94404"/>
    <w:rsid w:val="00DD2C92"/>
    <w:rsid w:val="00DD7574"/>
    <w:rsid w:val="00DE0361"/>
    <w:rsid w:val="00DE27E7"/>
    <w:rsid w:val="00E020F2"/>
    <w:rsid w:val="00E0337E"/>
    <w:rsid w:val="00E05997"/>
    <w:rsid w:val="00E833EB"/>
    <w:rsid w:val="00E840AF"/>
    <w:rsid w:val="00EA5AA3"/>
    <w:rsid w:val="00EC3871"/>
    <w:rsid w:val="00EC4F57"/>
    <w:rsid w:val="00ED761A"/>
    <w:rsid w:val="00F0094F"/>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6C61-2ECB-401A-9FE2-9B838655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6043</Words>
  <Characters>3445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2016-08-15T13:03:00Z</cp:lastPrinted>
  <dcterms:created xsi:type="dcterms:W3CDTF">2016-03-16T09:11:00Z</dcterms:created>
  <dcterms:modified xsi:type="dcterms:W3CDTF">2016-10-03T08:37:00Z</dcterms:modified>
</cp:coreProperties>
</file>