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742BC8">
        <w:rPr>
          <w:rFonts w:eastAsia="Times New Roman"/>
          <w:bCs/>
          <w:lang w:eastAsia="ar-SA"/>
        </w:rPr>
        <w:t>22</w:t>
      </w:r>
      <w:r w:rsidR="004D24FD">
        <w:rPr>
          <w:rFonts w:eastAsia="Times New Roman"/>
          <w:bCs/>
          <w:lang w:eastAsia="ar-SA"/>
        </w:rPr>
        <w:t>.</w:t>
      </w:r>
      <w:r w:rsidR="003D4F8C">
        <w:rPr>
          <w:rFonts w:eastAsia="Times New Roman"/>
          <w:bCs/>
          <w:lang w:eastAsia="ar-SA"/>
        </w:rPr>
        <w:t>dec</w:t>
      </w:r>
      <w:r w:rsidR="004946E9">
        <w:rPr>
          <w:rFonts w:eastAsia="Times New Roman"/>
          <w:bCs/>
          <w:lang w:eastAsia="ar-SA"/>
        </w:rPr>
        <w:t>em</w:t>
      </w:r>
      <w:r w:rsidR="00C369F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</w:t>
      </w:r>
      <w:r w:rsidR="00742BC8">
        <w:rPr>
          <w:rFonts w:eastAsia="Times New Roman"/>
          <w:b/>
          <w:bCs/>
          <w:lang w:eastAsia="en-US"/>
        </w:rPr>
        <w:t>s</w:t>
      </w:r>
      <w:r>
        <w:rPr>
          <w:rFonts w:eastAsia="Times New Roman"/>
          <w:b/>
          <w:bCs/>
          <w:lang w:eastAsia="en-US"/>
        </w:rPr>
        <w:t xml:space="preserve"> </w:t>
      </w:r>
      <w:r w:rsidR="00742BC8">
        <w:rPr>
          <w:rFonts w:eastAsia="Times New Roman"/>
          <w:b/>
          <w:bCs/>
          <w:lang w:eastAsia="en-US"/>
        </w:rPr>
        <w:t>GRC nodaļai</w:t>
      </w:r>
      <w:r w:rsidR="003D4F8C">
        <w:rPr>
          <w:rFonts w:eastAsia="Times New Roman"/>
          <w:b/>
          <w:bCs/>
          <w:lang w:eastAsia="en-US"/>
        </w:rPr>
        <w:t xml:space="preserve"> </w:t>
      </w:r>
      <w:r w:rsidR="002A0C62">
        <w:rPr>
          <w:rFonts w:eastAsia="Times New Roman"/>
          <w:b/>
          <w:bCs/>
          <w:lang w:eastAsia="en-US"/>
        </w:rPr>
        <w:t xml:space="preserve">inventāra </w:t>
      </w:r>
      <w:r w:rsidR="003D4F8C">
        <w:rPr>
          <w:rFonts w:eastAsia="Times New Roman"/>
          <w:b/>
          <w:lang w:eastAsia="en-US"/>
        </w:rPr>
        <w:t>papildus ie</w:t>
      </w:r>
      <w:r w:rsidR="003D4F8C" w:rsidRPr="000A563A">
        <w:rPr>
          <w:rFonts w:eastAsia="Times New Roman"/>
          <w:b/>
          <w:lang w:eastAsia="en-US"/>
        </w:rPr>
        <w:t>pirkšana</w:t>
      </w:r>
      <w:r w:rsidR="002A0C62">
        <w:rPr>
          <w:rFonts w:eastAsia="Times New Roman"/>
          <w:b/>
          <w:bCs/>
          <w:lang w:eastAsia="en-US"/>
        </w:rPr>
        <w:t xml:space="preserve"> 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2A0C62" w:rsidRDefault="002A0C62" w:rsidP="00AB1D82">
      <w:pPr>
        <w:suppressAutoHyphens/>
        <w:rPr>
          <w:rFonts w:eastAsia="Times New Roman"/>
          <w:b/>
          <w:bCs/>
          <w:lang w:eastAsia="en-US"/>
        </w:rPr>
      </w:pPr>
    </w:p>
    <w:p w:rsidR="002A0C62" w:rsidRDefault="001A0389" w:rsidP="002A0C62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3D4F8C" w:rsidRPr="003D4F8C">
        <w:rPr>
          <w:rFonts w:eastAsia="Times New Roman"/>
          <w:bCs/>
          <w:lang w:eastAsia="en-US"/>
        </w:rPr>
        <w:t xml:space="preserve">Daugavpils Bērnu un jaunatnes sporta </w:t>
      </w:r>
      <w:r w:rsidR="00742BC8" w:rsidRPr="00742BC8">
        <w:rPr>
          <w:rFonts w:eastAsia="Times New Roman"/>
          <w:bCs/>
          <w:lang w:eastAsia="en-US"/>
        </w:rPr>
        <w:t>skolas GRC nodaļai</w:t>
      </w:r>
      <w:r w:rsidR="00742BC8">
        <w:rPr>
          <w:rFonts w:eastAsia="Times New Roman"/>
          <w:b/>
          <w:bCs/>
          <w:lang w:eastAsia="en-US"/>
        </w:rPr>
        <w:t xml:space="preserve"> </w:t>
      </w:r>
      <w:r w:rsidR="003D4F8C" w:rsidRPr="003D4F8C">
        <w:rPr>
          <w:rFonts w:eastAsia="Times New Roman"/>
          <w:bCs/>
          <w:lang w:eastAsia="en-US"/>
        </w:rPr>
        <w:t xml:space="preserve">inventāra </w:t>
      </w:r>
      <w:r w:rsidR="003D4F8C" w:rsidRPr="003D4F8C">
        <w:rPr>
          <w:rFonts w:eastAsia="Times New Roman"/>
          <w:lang w:eastAsia="en-US"/>
        </w:rPr>
        <w:t>papildus iepirkšana</w:t>
      </w:r>
      <w:r w:rsidR="003D4F8C">
        <w:rPr>
          <w:rFonts w:eastAsia="Times New Roman"/>
          <w:lang w:eastAsia="en-US"/>
        </w:rPr>
        <w:t>;</w:t>
      </w:r>
    </w:p>
    <w:p w:rsidR="00A02666" w:rsidRDefault="001A0389" w:rsidP="002A0C62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42BC8">
        <w:rPr>
          <w:rFonts w:eastAsia="Times New Roman"/>
          <w:bCs/>
          <w:lang w:eastAsia="en-US"/>
        </w:rPr>
        <w:t>90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3D4F8C">
        <w:rPr>
          <w:rFonts w:eastAsia="Times New Roman"/>
          <w:bCs/>
          <w:lang w:eastAsia="en-US"/>
        </w:rPr>
        <w:t>3</w:t>
      </w:r>
      <w:r w:rsidR="00742BC8">
        <w:rPr>
          <w:rFonts w:eastAsia="Times New Roman"/>
          <w:bCs/>
          <w:lang w:eastAsia="en-US"/>
        </w:rPr>
        <w:t>0</w:t>
      </w:r>
      <w:r w:rsidR="00C369F4">
        <w:rPr>
          <w:rFonts w:eastAsia="Times New Roman"/>
          <w:bCs/>
          <w:lang w:eastAsia="en-US"/>
        </w:rPr>
        <w:t>.</w:t>
      </w:r>
      <w:r w:rsidR="00AB1D82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4D24FD" w:rsidRPr="00EA5AA3">
        <w:rPr>
          <w:rFonts w:eastAsia="Times New Roman"/>
          <w:bCs/>
          <w:lang w:eastAsia="en-US"/>
        </w:rPr>
        <w:t>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 ar viszemāko cenu,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742BC8">
        <w:rPr>
          <w:rFonts w:eastAsia="Times New Roman"/>
          <w:b/>
          <w:bCs/>
          <w:lang w:eastAsia="en-US"/>
        </w:rPr>
        <w:t>23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A0C62">
        <w:rPr>
          <w:rFonts w:eastAsia="Times New Roman"/>
          <w:b/>
          <w:bCs/>
          <w:lang w:eastAsia="en-US"/>
        </w:rPr>
        <w:t>dec</w:t>
      </w:r>
      <w:r w:rsidR="00C369F4">
        <w:rPr>
          <w:rFonts w:eastAsia="Times New Roman"/>
          <w:b/>
          <w:bCs/>
          <w:lang w:eastAsia="en-US"/>
        </w:rPr>
        <w:t>embrim,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5C24A2">
        <w:rPr>
          <w:rFonts w:eastAsia="Times New Roman"/>
          <w:b/>
          <w:bCs/>
          <w:lang w:eastAsia="en-US"/>
        </w:rPr>
        <w:t>2</w:t>
      </w:r>
      <w:bookmarkStart w:id="0" w:name="_GoBack"/>
      <w:bookmarkEnd w:id="0"/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A0C6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</w:p>
    <w:p w:rsidR="002A0C62" w:rsidRDefault="002A0C62" w:rsidP="00B102D2">
      <w:pPr>
        <w:pStyle w:val="ListParagraph"/>
        <w:ind w:firstLine="720"/>
        <w:jc w:val="right"/>
        <w:rPr>
          <w:b/>
        </w:rPr>
      </w:pP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2A0C62" w:rsidRDefault="00D94404" w:rsidP="002A0C62">
      <w:pPr>
        <w:suppressAutoHyphens/>
        <w:rPr>
          <w:b/>
        </w:rPr>
      </w:pPr>
      <w:r w:rsidRPr="00D94404">
        <w:rPr>
          <w:b/>
        </w:rPr>
        <w:t xml:space="preserve">Veicamā darba uzdevumi: </w:t>
      </w:r>
      <w:r w:rsidR="002A0C62" w:rsidRPr="002A0C62">
        <w:rPr>
          <w:rFonts w:eastAsia="Times New Roman"/>
          <w:bCs/>
          <w:lang w:eastAsia="en-US"/>
        </w:rPr>
        <w:t>Daugavpils B</w:t>
      </w:r>
      <w:r w:rsidR="00F62224">
        <w:rPr>
          <w:rFonts w:eastAsia="Times New Roman"/>
          <w:bCs/>
          <w:lang w:eastAsia="en-US"/>
        </w:rPr>
        <w:t xml:space="preserve">ērnu un jaunatnes sporta </w:t>
      </w:r>
      <w:r w:rsidR="00742BC8" w:rsidRPr="00742BC8">
        <w:rPr>
          <w:rFonts w:eastAsia="Times New Roman"/>
          <w:bCs/>
          <w:lang w:eastAsia="en-US"/>
        </w:rPr>
        <w:t>skolas GRC nodaļai</w:t>
      </w:r>
      <w:r w:rsidR="00742BC8">
        <w:rPr>
          <w:rFonts w:eastAsia="Times New Roman"/>
          <w:b/>
          <w:bCs/>
          <w:lang w:eastAsia="en-US"/>
        </w:rPr>
        <w:t xml:space="preserve"> </w:t>
      </w:r>
      <w:r w:rsidR="003D4F8C" w:rsidRPr="003D4F8C">
        <w:rPr>
          <w:rFonts w:eastAsia="Times New Roman"/>
          <w:bCs/>
          <w:lang w:eastAsia="en-US"/>
        </w:rPr>
        <w:t xml:space="preserve">inventāra </w:t>
      </w:r>
      <w:r w:rsidR="003D4F8C" w:rsidRPr="003D4F8C">
        <w:rPr>
          <w:rFonts w:eastAsia="Times New Roman"/>
          <w:lang w:eastAsia="en-US"/>
        </w:rPr>
        <w:t>papildus iepirkšana</w:t>
      </w:r>
      <w:r w:rsidR="003D4F8C">
        <w:rPr>
          <w:rFonts w:eastAsia="Times New Roman"/>
          <w:lang w:eastAsia="en-US"/>
        </w:rPr>
        <w:t>;</w:t>
      </w:r>
    </w:p>
    <w:p w:rsidR="00D94404" w:rsidRPr="000B191D" w:rsidRDefault="00D94404" w:rsidP="002A0C62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C369F4">
        <w:rPr>
          <w:rFonts w:eastAsia="Times New Roman"/>
          <w:bCs/>
          <w:lang w:eastAsia="en-US"/>
        </w:rPr>
        <w:t>2016</w:t>
      </w:r>
      <w:r w:rsidR="00C369F4" w:rsidRPr="00EA5AA3">
        <w:rPr>
          <w:rFonts w:eastAsia="Times New Roman"/>
          <w:bCs/>
          <w:lang w:eastAsia="en-US"/>
        </w:rPr>
        <w:t xml:space="preserve">.gada </w:t>
      </w:r>
      <w:r w:rsidR="003D4F8C">
        <w:rPr>
          <w:rFonts w:eastAsia="Times New Roman"/>
          <w:bCs/>
          <w:lang w:eastAsia="en-US"/>
        </w:rPr>
        <w:t>3</w:t>
      </w:r>
      <w:r w:rsidR="00742BC8">
        <w:rPr>
          <w:rFonts w:eastAsia="Times New Roman"/>
          <w:bCs/>
          <w:lang w:eastAsia="en-US"/>
        </w:rPr>
        <w:t>0</w:t>
      </w:r>
      <w:r w:rsidR="00C369F4">
        <w:rPr>
          <w:rFonts w:eastAsia="Times New Roman"/>
          <w:bCs/>
          <w:lang w:eastAsia="en-US"/>
        </w:rPr>
        <w:t>.</w:t>
      </w:r>
      <w:r w:rsidR="00ED409A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C369F4" w:rsidRPr="00EA5AA3">
        <w:rPr>
          <w:rFonts w:eastAsia="Times New Roman"/>
          <w:bCs/>
          <w:lang w:eastAsia="en-US"/>
        </w:rPr>
        <w:t>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03"/>
        <w:gridCol w:w="2340"/>
        <w:gridCol w:w="4962"/>
        <w:gridCol w:w="1701"/>
      </w:tblGrid>
      <w:tr w:rsidR="00C369F4" w:rsidRPr="000B191D" w:rsidTr="00742BC8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69F4" w:rsidRPr="000B191D" w:rsidRDefault="00ED409A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369F4" w:rsidRPr="000B191D" w:rsidTr="00742BC8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42BC8" w:rsidRPr="000B191D" w:rsidTr="00742BC8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BC8" w:rsidRPr="000B191D" w:rsidRDefault="00742BC8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2BC8" w:rsidRDefault="00742BC8" w:rsidP="00387D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maisiņi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2BC8" w:rsidRDefault="00742BC8" w:rsidP="00387D2B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PVH              </w:t>
            </w:r>
            <w:r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4F7AA919" wp14:editId="2FB5FA67">
                  <wp:extent cx="1000125" cy="847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42BC8" w:rsidRDefault="00742BC8" w:rsidP="00387D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 kg – 1 gab.</w:t>
            </w:r>
          </w:p>
          <w:p w:rsidR="00742BC8" w:rsidRDefault="00742BC8" w:rsidP="00742B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10 kg – 1 gab.  15 kg – 1 gab.</w:t>
            </w:r>
          </w:p>
        </w:tc>
      </w:tr>
    </w:tbl>
    <w:p w:rsidR="00BB6F93" w:rsidRDefault="00BB6F93" w:rsidP="00D94404"/>
    <w:p w:rsidR="00BB6F93" w:rsidRDefault="00BB6F93" w:rsidP="00D94404"/>
    <w:p w:rsidR="00C42EC5" w:rsidRDefault="00C42EC5" w:rsidP="00D94404"/>
    <w:p w:rsidR="00C42EC5" w:rsidRDefault="00C42EC5" w:rsidP="00D94404"/>
    <w:p w:rsidR="00C42EC5" w:rsidRDefault="00C42EC5" w:rsidP="00D94404"/>
    <w:p w:rsidR="00C42EC5" w:rsidRDefault="00C42EC5" w:rsidP="00D94404"/>
    <w:p w:rsidR="009C0406" w:rsidRDefault="009C0406" w:rsidP="009C0406">
      <w:r>
        <w:t>Tehnisko specifikāciju sagatavoja</w:t>
      </w:r>
    </w:p>
    <w:p w:rsidR="00AC365C" w:rsidRDefault="009C0406" w:rsidP="007F5336">
      <w:pPr>
        <w:rPr>
          <w:rFonts w:eastAsia="Times New Roman"/>
          <w:lang w:eastAsia="ar-SA"/>
        </w:rPr>
      </w:pPr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3D4F8C" w:rsidRDefault="003D4F8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3D4F8C" w:rsidRDefault="003D4F8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42BC8" w:rsidRDefault="00742BC8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42BC8" w:rsidRDefault="00742BC8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42BC8" w:rsidRDefault="00742BC8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42BC8" w:rsidRDefault="00742BC8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42BC8" w:rsidRDefault="00742BC8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suppressAutoHyphens/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F1BEC" w:rsidRDefault="00C42EC5" w:rsidP="00D374AB">
      <w:pPr>
        <w:suppressAutoHyphens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AC365C">
        <w:rPr>
          <w:rFonts w:eastAsia="Times New Roman"/>
          <w:lang w:eastAsia="ar-SA"/>
        </w:rPr>
        <w:t xml:space="preserve">piegādāt </w:t>
      </w:r>
      <w:r w:rsidR="00AC365C" w:rsidRPr="00AB1D82">
        <w:rPr>
          <w:rFonts w:eastAsia="Times New Roman"/>
          <w:bCs/>
          <w:lang w:eastAsia="en-US"/>
        </w:rPr>
        <w:t xml:space="preserve">Daugavpils Bērnu un jaunatnes sporta </w:t>
      </w:r>
      <w:r w:rsidR="00742BC8" w:rsidRPr="00742BC8">
        <w:rPr>
          <w:rFonts w:eastAsia="Times New Roman"/>
          <w:bCs/>
          <w:lang w:eastAsia="en-US"/>
        </w:rPr>
        <w:t>skolas GRC nodaļai</w:t>
      </w:r>
      <w:r w:rsidR="003D4F8C" w:rsidRPr="003D4F8C">
        <w:rPr>
          <w:rFonts w:eastAsia="Times New Roman"/>
          <w:bCs/>
          <w:lang w:eastAsia="en-US"/>
        </w:rPr>
        <w:t xml:space="preserve"> inventār</w:t>
      </w:r>
      <w:r w:rsidR="003D4F8C">
        <w:rPr>
          <w:rFonts w:eastAsia="Times New Roman"/>
          <w:bCs/>
          <w:lang w:eastAsia="en-US"/>
        </w:rPr>
        <w:t>u</w:t>
      </w:r>
      <w:r w:rsidR="003D4F8C" w:rsidRPr="003D4F8C">
        <w:rPr>
          <w:rFonts w:eastAsia="Times New Roman"/>
          <w:bCs/>
          <w:lang w:eastAsia="en-US"/>
        </w:rPr>
        <w:t xml:space="preserve"> </w:t>
      </w:r>
      <w:r w:rsidR="00AC365C">
        <w:rPr>
          <w:rFonts w:eastAsia="Times New Roman"/>
          <w:lang w:eastAsia="en-US"/>
        </w:rPr>
        <w:t>par šādu cenu:</w:t>
      </w: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3969"/>
        <w:gridCol w:w="1584"/>
        <w:gridCol w:w="1275"/>
      </w:tblGrid>
      <w:tr w:rsidR="00CA2DC9" w:rsidRPr="000B191D" w:rsidTr="00742BC8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742BC8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42BC8" w:rsidRPr="000B191D" w:rsidTr="00742BC8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BC8" w:rsidRPr="000B191D" w:rsidRDefault="00742BC8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2BC8" w:rsidRDefault="00742BC8" w:rsidP="00387D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maisiņi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2BC8" w:rsidRDefault="00742BC8" w:rsidP="00387D2B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PVH              </w:t>
            </w:r>
            <w:r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7F7F2E66" wp14:editId="4D23E8A1">
                  <wp:extent cx="1000125" cy="847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42BC8" w:rsidRDefault="00742BC8" w:rsidP="00387D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 kg – 1 gab.</w:t>
            </w:r>
          </w:p>
          <w:p w:rsidR="00742BC8" w:rsidRDefault="00742BC8" w:rsidP="00387D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10 kg – 1 gab.  15 kg – 1 gab.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42BC8" w:rsidRPr="000B191D" w:rsidRDefault="00742BC8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CA2DC9" w:rsidTr="00742BC8">
        <w:trPr>
          <w:trHeight w:val="549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F6" w:rsidRDefault="00047CF6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</w:t>
            </w:r>
          </w:p>
          <w:p w:rsidR="00CA2DC9" w:rsidRPr="00CA2DC9" w:rsidRDefault="00047CF6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proofErr w:type="spellStart"/>
            <w:r w:rsidR="00CA2DC9"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="00CA2DC9"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AC365C" w:rsidRDefault="00AC365C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047CF6" w:rsidRDefault="00047CF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74" w:rsidRDefault="00AC2B74" w:rsidP="00B46840">
      <w:r>
        <w:separator/>
      </w:r>
    </w:p>
  </w:endnote>
  <w:endnote w:type="continuationSeparator" w:id="0">
    <w:p w:rsidR="00AC2B74" w:rsidRDefault="00AC2B7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74" w:rsidRDefault="00AC2B74" w:rsidP="00B46840">
      <w:r>
        <w:separator/>
      </w:r>
    </w:p>
  </w:footnote>
  <w:footnote w:type="continuationSeparator" w:id="0">
    <w:p w:rsidR="00AC2B74" w:rsidRDefault="00AC2B7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47CF6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A0C62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D4F8C"/>
    <w:rsid w:val="003E1B46"/>
    <w:rsid w:val="004946E9"/>
    <w:rsid w:val="0049759F"/>
    <w:rsid w:val="004A325E"/>
    <w:rsid w:val="004C2D2D"/>
    <w:rsid w:val="004D24FD"/>
    <w:rsid w:val="00531F4A"/>
    <w:rsid w:val="00540E72"/>
    <w:rsid w:val="005C24A2"/>
    <w:rsid w:val="00606225"/>
    <w:rsid w:val="00636F05"/>
    <w:rsid w:val="006E216F"/>
    <w:rsid w:val="006E7A19"/>
    <w:rsid w:val="0070155E"/>
    <w:rsid w:val="00706737"/>
    <w:rsid w:val="00710309"/>
    <w:rsid w:val="00727C3B"/>
    <w:rsid w:val="00742BC8"/>
    <w:rsid w:val="00763752"/>
    <w:rsid w:val="007A0D9D"/>
    <w:rsid w:val="007A67A1"/>
    <w:rsid w:val="007A7B96"/>
    <w:rsid w:val="007B4FA4"/>
    <w:rsid w:val="007B5008"/>
    <w:rsid w:val="007B5249"/>
    <w:rsid w:val="007C3227"/>
    <w:rsid w:val="007F5336"/>
    <w:rsid w:val="007F6B8F"/>
    <w:rsid w:val="00833B3D"/>
    <w:rsid w:val="0084024C"/>
    <w:rsid w:val="00841860"/>
    <w:rsid w:val="008671B6"/>
    <w:rsid w:val="008A4151"/>
    <w:rsid w:val="008B7743"/>
    <w:rsid w:val="008C6DC8"/>
    <w:rsid w:val="008E4FCD"/>
    <w:rsid w:val="008E7C41"/>
    <w:rsid w:val="00910D09"/>
    <w:rsid w:val="0092163D"/>
    <w:rsid w:val="00945D34"/>
    <w:rsid w:val="00961330"/>
    <w:rsid w:val="009763F3"/>
    <w:rsid w:val="009C0406"/>
    <w:rsid w:val="009E7E33"/>
    <w:rsid w:val="009F3ED2"/>
    <w:rsid w:val="00A02666"/>
    <w:rsid w:val="00A3480C"/>
    <w:rsid w:val="00AB1D82"/>
    <w:rsid w:val="00AC26BE"/>
    <w:rsid w:val="00AC2B74"/>
    <w:rsid w:val="00AC365C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C7FAC"/>
    <w:rsid w:val="00BD2B8B"/>
    <w:rsid w:val="00C369F4"/>
    <w:rsid w:val="00C41094"/>
    <w:rsid w:val="00C42EC5"/>
    <w:rsid w:val="00C62424"/>
    <w:rsid w:val="00CA2DC9"/>
    <w:rsid w:val="00CD64D2"/>
    <w:rsid w:val="00CE273B"/>
    <w:rsid w:val="00CE2CF3"/>
    <w:rsid w:val="00CF1BEC"/>
    <w:rsid w:val="00D211C9"/>
    <w:rsid w:val="00D23CDB"/>
    <w:rsid w:val="00D30688"/>
    <w:rsid w:val="00D374A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ED409A"/>
    <w:rsid w:val="00F57553"/>
    <w:rsid w:val="00F62224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ED2F-231A-4CB6-883E-05D520CC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2016-03-21T08:19:00Z</cp:lastPrinted>
  <dcterms:created xsi:type="dcterms:W3CDTF">2016-03-16T09:11:00Z</dcterms:created>
  <dcterms:modified xsi:type="dcterms:W3CDTF">2016-12-22T09:32:00Z</dcterms:modified>
</cp:coreProperties>
</file>