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5B56F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>epirkuma komisijas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EE49C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22537A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FE2B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60D8">
        <w:rPr>
          <w:rFonts w:ascii="Times New Roman" w:eastAsia="Times New Roman" w:hAnsi="Times New Roman" w:cs="Times New Roman"/>
          <w:bCs/>
          <w:sz w:val="24"/>
          <w:szCs w:val="24"/>
        </w:rPr>
        <w:t>septembr</w:t>
      </w:r>
      <w:r w:rsidR="00FE2BD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22537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7B7007" w:rsidRPr="005B56FF" w:rsidRDefault="0022537A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61439C" w:rsidRPr="0061439C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Daugavpils Stropu pamatskolas-attīstības centra ēkas </w:t>
      </w:r>
      <w:proofErr w:type="spellStart"/>
      <w:r w:rsidR="0061439C" w:rsidRPr="0061439C">
        <w:rPr>
          <w:rFonts w:ascii="Times New Roman" w:eastAsia="Lucida Sans Unicode" w:hAnsi="Times New Roman" w:cs="Times New Roman"/>
          <w:b/>
          <w:bCs/>
          <w:sz w:val="24"/>
          <w:szCs w:val="24"/>
        </w:rPr>
        <w:t>Mihoelsa</w:t>
      </w:r>
      <w:proofErr w:type="spellEnd"/>
      <w:r w:rsidR="0061439C" w:rsidRPr="0061439C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ielā 4, Daugavpilī, energoefektivitātes paaugstināšana (SAM 4.2.2. ietvaros)</w:t>
      </w:r>
      <w:r w:rsidR="007B7007"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identifikācijas Nr. DPD 201</w:t>
      </w:r>
      <w:r w:rsidR="00FE2BDB">
        <w:rPr>
          <w:rFonts w:ascii="Times New Roman" w:eastAsia="Times New Roman" w:hAnsi="Times New Roman" w:cs="Times New Roman"/>
          <w:bCs/>
          <w:sz w:val="24"/>
          <w:szCs w:val="24"/>
        </w:rPr>
        <w:t>8/10</w:t>
      </w:r>
      <w:r w:rsidR="0061439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9341FF" w:rsidRPr="00AD0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2818DF" w:rsidRPr="00AD0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2537A">
        <w:rPr>
          <w:rFonts w:ascii="Times New Roman" w:eastAsia="Times New Roman" w:hAnsi="Times New Roman" w:cs="Times New Roman"/>
          <w:b/>
          <w:sz w:val="24"/>
          <w:szCs w:val="24"/>
        </w:rPr>
        <w:t xml:space="preserve"> NR.2</w:t>
      </w:r>
      <w:r w:rsidR="00AB3905">
        <w:rPr>
          <w:rFonts w:ascii="Times New Roman" w:eastAsia="Times New Roman" w:hAnsi="Times New Roman" w:cs="Times New Roman"/>
          <w:b/>
          <w:sz w:val="24"/>
          <w:szCs w:val="24"/>
        </w:rPr>
        <w:t xml:space="preserve"> un atbilde uz jautājumu</w:t>
      </w:r>
    </w:p>
    <w:p w:rsidR="00AB3905" w:rsidRPr="00AB3905" w:rsidRDefault="00AB3905" w:rsidP="00AB390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 xml:space="preserve">Būvprojekta “Daugavpils 2.speciālās pirmsskolas izglītības iestādes ēkas energoefektivitātes paaugstināšana, vides pieejamības prasību nodrošināšana”, kuru izstrādāja SIA “Ēkas siltināšana”, lapās </w:t>
      </w:r>
      <w:r w:rsidRPr="00AB3905">
        <w:rPr>
          <w:rFonts w:ascii="Times New Roman" w:eastAsia="Times New Roman" w:hAnsi="Times New Roman" w:cs="Times New Roman"/>
          <w:b/>
          <w:i/>
          <w:sz w:val="24"/>
          <w:szCs w:val="24"/>
        </w:rPr>
        <w:t>AR-11 LAPA 40/12</w:t>
      </w:r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 xml:space="preserve"> (1.stāva eksplikācija) un </w:t>
      </w:r>
      <w:r w:rsidRPr="00AB3905">
        <w:rPr>
          <w:rFonts w:ascii="Times New Roman" w:eastAsia="Times New Roman" w:hAnsi="Times New Roman" w:cs="Times New Roman"/>
          <w:b/>
          <w:i/>
          <w:sz w:val="24"/>
          <w:szCs w:val="24"/>
        </w:rPr>
        <w:t>AR-12 LAPA 40/13</w:t>
      </w:r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 xml:space="preserve"> (2.stāva eksplikācija) ir norādīts vertikālais pacēlājs – </w:t>
      </w:r>
      <w:r w:rsidRPr="00AB390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“pasažieru pacēlājs  (platforma 1,12 x 1,48 m)</w:t>
      </w:r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 xml:space="preserve">”, bet lapā </w:t>
      </w:r>
      <w:r w:rsidRPr="00AB3905">
        <w:rPr>
          <w:rFonts w:ascii="Times New Roman" w:eastAsia="Times New Roman" w:hAnsi="Times New Roman" w:cs="Times New Roman"/>
          <w:b/>
          <w:i/>
          <w:sz w:val="24"/>
          <w:szCs w:val="24"/>
        </w:rPr>
        <w:t>AR-13 LAPA 40/14</w:t>
      </w:r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 xml:space="preserve">  (pagraba eksplikācija) ir norādīts  - “</w:t>
      </w:r>
      <w:proofErr w:type="spellStart"/>
      <w:r w:rsidRPr="00AB390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Jaunprojektējams</w:t>
      </w:r>
      <w:proofErr w:type="spellEnd"/>
      <w:r w:rsidRPr="00AB390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invalīdu pacēlājs”</w:t>
      </w:r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>, kas, iespējams, ir nolaidenais pacēlājs gar kāpnēm. Būvdarbu apjomu saraksta sadaļas “Dažādi darbi t.sk. teritorijas labiekārtošana” 2.punktā “Invalīdu pacēlājs” 2.1.pozīcijā ir norāde tikai par 1 (vienu) pacēlāju: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349"/>
        <w:gridCol w:w="580"/>
        <w:gridCol w:w="895"/>
      </w:tblGrid>
      <w:tr w:rsidR="00AB3905" w:rsidRPr="00AB3905" w:rsidTr="00387B05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AB3905" w:rsidRPr="00AB3905" w:rsidRDefault="00AB3905" w:rsidP="00AB390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9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7567" w:type="dxa"/>
            <w:shd w:val="clear" w:color="auto" w:fill="auto"/>
            <w:hideMark/>
          </w:tcPr>
          <w:p w:rsidR="00AB3905" w:rsidRPr="00AB3905" w:rsidRDefault="00AB3905" w:rsidP="00AB390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9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Invalīdu pacēlāja piegāde un uzstādīšana no grunts līmeņa uz 1. un uz 2. stāvu, šahtas ārējie izmēri 1250x1560, </w:t>
            </w:r>
            <w:proofErr w:type="spellStart"/>
            <w:r w:rsidRPr="00AB39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Kone</w:t>
            </w:r>
            <w:proofErr w:type="spellEnd"/>
            <w:r w:rsidRPr="00AB39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39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Motala</w:t>
            </w:r>
            <w:proofErr w:type="spellEnd"/>
            <w:r w:rsidRPr="00AB39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2000 vai ekvivalenta uzstādīšana ar metāla paneļu šahtas konstrukciju, metāla šahtas durvis ar stiklu, celtspēja 500kg/ 5 personas, nominālā jauda 0,55 </w:t>
            </w:r>
            <w:proofErr w:type="spellStart"/>
            <w:r w:rsidRPr="00AB39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kw</w:t>
            </w:r>
            <w:proofErr w:type="spellEnd"/>
            <w:r w:rsidRPr="00AB39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AB3905" w:rsidRPr="00AB3905" w:rsidRDefault="00AB3905" w:rsidP="00AB390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39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905" w:type="dxa"/>
            <w:shd w:val="clear" w:color="auto" w:fill="auto"/>
            <w:hideMark/>
          </w:tcPr>
          <w:p w:rsidR="00AB3905" w:rsidRPr="00AB3905" w:rsidRDefault="00AB3905" w:rsidP="00AB390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9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1,00</w:t>
            </w:r>
          </w:p>
        </w:tc>
      </w:tr>
    </w:tbl>
    <w:p w:rsidR="00AB3905" w:rsidRPr="00AB3905" w:rsidRDefault="00AB3905" w:rsidP="00AB390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9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Jautājums:</w:t>
      </w:r>
      <w:r w:rsidRPr="00AB39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B3905" w:rsidRPr="00AB3905" w:rsidRDefault="00AB3905" w:rsidP="00AB3905">
      <w:pPr>
        <w:tabs>
          <w:tab w:val="left" w:pos="567"/>
        </w:tabs>
        <w:spacing w:after="0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>Lūdzam pasūtītāju skaidrot, vai  pasūtītājam nepieciešams arī lapā AR-13 LAPA 40/14  (pagraba eksplikācija) norādītais “</w:t>
      </w:r>
      <w:proofErr w:type="spellStart"/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>Jaunprojektējams</w:t>
      </w:r>
      <w:proofErr w:type="spellEnd"/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 xml:space="preserve"> invalīdu pacēlājs” (1 </w:t>
      </w:r>
      <w:proofErr w:type="spellStart"/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>gb</w:t>
      </w:r>
      <w:proofErr w:type="spellEnd"/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>). Ja nepieciešams šāds pacēlājs, lūdzam attiecīgi koriģēt  būvdarbu apjomu sarakstu, iekļaut tajā pacēlāja pozīciju “</w:t>
      </w:r>
      <w:proofErr w:type="spellStart"/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>Jaunprojektējams</w:t>
      </w:r>
      <w:proofErr w:type="spellEnd"/>
      <w:r w:rsidRPr="00AB3905">
        <w:rPr>
          <w:rFonts w:ascii="Times New Roman" w:eastAsia="Times New Roman" w:hAnsi="Times New Roman" w:cs="Times New Roman"/>
          <w:i/>
          <w:sz w:val="24"/>
          <w:szCs w:val="24"/>
        </w:rPr>
        <w:t xml:space="preserve"> invalīdu pacēlājs” un sniegt šī pacēlāja tehnisko specifikāciju prasību aprakstu. Ja šāds pacēlājs nav nepieciešams, tad būtu jāveic rasējuma korekcija, izslēdzot šo vienību no pagraba eksplikācijas.</w:t>
      </w:r>
    </w:p>
    <w:p w:rsidR="00AB3905" w:rsidRPr="00AB3905" w:rsidRDefault="00AB3905" w:rsidP="00AB3905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</w:pPr>
      <w:r w:rsidRPr="00AB3905"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zh-CN" w:bidi="hi-IN"/>
        </w:rPr>
        <w:t>Atbilde:</w:t>
      </w:r>
    </w:p>
    <w:p w:rsidR="00AB3905" w:rsidRDefault="00AB3905" w:rsidP="00AB3905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3905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Iepirkuma procedūras būvniecības dokumentācija tiks precizēta.”</w:t>
      </w:r>
    </w:p>
    <w:p w:rsidR="0022537A" w:rsidRPr="0022537A" w:rsidRDefault="0022537A" w:rsidP="0022537A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37A">
        <w:rPr>
          <w:rFonts w:ascii="Times New Roman" w:hAnsi="Times New Roman" w:cs="Times New Roman"/>
          <w:sz w:val="24"/>
          <w:szCs w:val="24"/>
        </w:rPr>
        <w:t xml:space="preserve">Precizējot iepriekš </w:t>
      </w:r>
      <w:r w:rsidRPr="0022537A">
        <w:rPr>
          <w:rFonts w:ascii="Times New Roman" w:hAnsi="Times New Roman" w:cs="Times New Roman"/>
          <w:sz w:val="24"/>
          <w:szCs w:val="24"/>
          <w:lang w:eastAsia="ru-RU"/>
        </w:rPr>
        <w:t>publicēto būvniecības dokumentāciju</w:t>
      </w:r>
      <w:r w:rsidRPr="0022537A">
        <w:rPr>
          <w:rFonts w:ascii="Times New Roman" w:hAnsi="Times New Roman" w:cs="Times New Roman"/>
          <w:sz w:val="24"/>
          <w:szCs w:val="24"/>
        </w:rPr>
        <w:t>, iepirkumu komisija nolēma:</w:t>
      </w:r>
    </w:p>
    <w:p w:rsidR="0022537A" w:rsidRPr="0022537A" w:rsidRDefault="0022537A" w:rsidP="0022537A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7A">
        <w:rPr>
          <w:rFonts w:ascii="Times New Roman" w:hAnsi="Times New Roman" w:cs="Times New Roman"/>
          <w:sz w:val="24"/>
          <w:szCs w:val="24"/>
        </w:rPr>
        <w:t>aktualizēt būvdarbu apjomus atbilstoši pielikumam;</w:t>
      </w:r>
    </w:p>
    <w:p w:rsidR="0022537A" w:rsidRPr="0022537A" w:rsidRDefault="0022537A" w:rsidP="0022537A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37A">
        <w:rPr>
          <w:rFonts w:ascii="Times New Roman" w:hAnsi="Times New Roman" w:cs="Times New Roman"/>
          <w:sz w:val="24"/>
          <w:szCs w:val="24"/>
        </w:rPr>
        <w:t>pagarināt piedāvājumu iesniegšanas termiņu līdz 2018.gada 5.oktobrim, plkst.09.00.</w:t>
      </w:r>
    </w:p>
    <w:p w:rsidR="0056635B" w:rsidRPr="0022537A" w:rsidRDefault="0022537A" w:rsidP="0022537A">
      <w:pPr>
        <w:pStyle w:val="BodyTextIndent"/>
        <w:tabs>
          <w:tab w:val="left" w:pos="993"/>
        </w:tabs>
        <w:spacing w:after="120"/>
        <w:ind w:left="540" w:firstLine="0"/>
        <w:rPr>
          <w:b/>
          <w:sz w:val="24"/>
        </w:rPr>
      </w:pPr>
      <w:r w:rsidRPr="0022537A">
        <w:rPr>
          <w:sz w:val="24"/>
        </w:rPr>
        <w:t>Pielikumā: aktualizētie būvdarbu apjomi.</w:t>
      </w:r>
    </w:p>
    <w:p w:rsidR="0061439C" w:rsidRPr="009C68D9" w:rsidRDefault="000C7959" w:rsidP="00AB3905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C7959">
        <w:rPr>
          <w:rFonts w:ascii="Times New Roman" w:hAnsi="Times New Roman" w:cs="Times New Roman"/>
          <w:i/>
          <w:sz w:val="24"/>
          <w:szCs w:val="24"/>
        </w:rPr>
        <w:t>Iepirkum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C7959">
        <w:rPr>
          <w:rFonts w:ascii="Times New Roman" w:hAnsi="Times New Roman" w:cs="Times New Roman"/>
          <w:sz w:val="24"/>
          <w:szCs w:val="24"/>
        </w:rPr>
        <w:t xml:space="preserve"> </w:t>
      </w:r>
      <w:r w:rsidRPr="000C7959">
        <w:rPr>
          <w:rFonts w:ascii="Times New Roman" w:hAnsi="Times New Roman" w:cs="Times New Roman"/>
          <w:i/>
          <w:sz w:val="24"/>
          <w:szCs w:val="24"/>
        </w:rPr>
        <w:t>komisija</w:t>
      </w:r>
      <w:bookmarkStart w:id="0" w:name="_GoBack"/>
      <w:bookmarkEnd w:id="0"/>
    </w:p>
    <w:sectPr w:rsidR="0061439C" w:rsidRPr="009C68D9" w:rsidSect="009C68D9">
      <w:footerReference w:type="default" r:id="rId7"/>
      <w:pgSz w:w="11906" w:h="16838"/>
      <w:pgMar w:top="1418" w:right="85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86" w:rsidRDefault="00F93286" w:rsidP="00D95F30">
      <w:pPr>
        <w:spacing w:after="0" w:line="240" w:lineRule="auto"/>
      </w:pPr>
      <w:r>
        <w:separator/>
      </w:r>
    </w:p>
  </w:endnote>
  <w:endnote w:type="continuationSeparator" w:id="0">
    <w:p w:rsidR="00F93286" w:rsidRDefault="00F9328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915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B390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86" w:rsidRDefault="00F93286" w:rsidP="00D95F30">
      <w:pPr>
        <w:spacing w:after="0" w:line="240" w:lineRule="auto"/>
      </w:pPr>
      <w:r>
        <w:separator/>
      </w:r>
    </w:p>
  </w:footnote>
  <w:footnote w:type="continuationSeparator" w:id="0">
    <w:p w:rsidR="00F93286" w:rsidRDefault="00F9328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0C70DFE"/>
    <w:multiLevelType w:val="hybridMultilevel"/>
    <w:tmpl w:val="7AE04BA0"/>
    <w:lvl w:ilvl="0" w:tplc="18E0D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362D20"/>
    <w:multiLevelType w:val="hybridMultilevel"/>
    <w:tmpl w:val="F8600EE4"/>
    <w:lvl w:ilvl="0" w:tplc="9E9AF5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F"/>
    <w:rsid w:val="000109CA"/>
    <w:rsid w:val="0005462C"/>
    <w:rsid w:val="000C7959"/>
    <w:rsid w:val="000E5971"/>
    <w:rsid w:val="00113FD6"/>
    <w:rsid w:val="00146699"/>
    <w:rsid w:val="0019159D"/>
    <w:rsid w:val="001D3975"/>
    <w:rsid w:val="001D6535"/>
    <w:rsid w:val="001F7F42"/>
    <w:rsid w:val="0020619D"/>
    <w:rsid w:val="0022537A"/>
    <w:rsid w:val="002818DF"/>
    <w:rsid w:val="00297ACA"/>
    <w:rsid w:val="002D459F"/>
    <w:rsid w:val="002E1515"/>
    <w:rsid w:val="0031084F"/>
    <w:rsid w:val="003160D8"/>
    <w:rsid w:val="0035168A"/>
    <w:rsid w:val="003554B8"/>
    <w:rsid w:val="003811D0"/>
    <w:rsid w:val="003F5A37"/>
    <w:rsid w:val="00564972"/>
    <w:rsid w:val="0056635B"/>
    <w:rsid w:val="0056699F"/>
    <w:rsid w:val="005B56FF"/>
    <w:rsid w:val="0061439C"/>
    <w:rsid w:val="0065418E"/>
    <w:rsid w:val="00662721"/>
    <w:rsid w:val="0069713D"/>
    <w:rsid w:val="0070612C"/>
    <w:rsid w:val="007358A3"/>
    <w:rsid w:val="007500F7"/>
    <w:rsid w:val="00755262"/>
    <w:rsid w:val="00771844"/>
    <w:rsid w:val="007B4ACB"/>
    <w:rsid w:val="007B7007"/>
    <w:rsid w:val="007D3C46"/>
    <w:rsid w:val="007E541B"/>
    <w:rsid w:val="008178EF"/>
    <w:rsid w:val="008308EA"/>
    <w:rsid w:val="008C566F"/>
    <w:rsid w:val="009116F9"/>
    <w:rsid w:val="00912420"/>
    <w:rsid w:val="009341FF"/>
    <w:rsid w:val="009344D9"/>
    <w:rsid w:val="0094775E"/>
    <w:rsid w:val="00983619"/>
    <w:rsid w:val="009A3AEC"/>
    <w:rsid w:val="009C68D9"/>
    <w:rsid w:val="009D1D3A"/>
    <w:rsid w:val="009D5960"/>
    <w:rsid w:val="009F4DDC"/>
    <w:rsid w:val="00A07D9D"/>
    <w:rsid w:val="00A6523D"/>
    <w:rsid w:val="00A912A0"/>
    <w:rsid w:val="00AA0C07"/>
    <w:rsid w:val="00AB3905"/>
    <w:rsid w:val="00AB6CB6"/>
    <w:rsid w:val="00AD06FF"/>
    <w:rsid w:val="00AD0E40"/>
    <w:rsid w:val="00AD1BED"/>
    <w:rsid w:val="00B20DB8"/>
    <w:rsid w:val="00B50576"/>
    <w:rsid w:val="00B83667"/>
    <w:rsid w:val="00BB4736"/>
    <w:rsid w:val="00C278CA"/>
    <w:rsid w:val="00C315FD"/>
    <w:rsid w:val="00C75B45"/>
    <w:rsid w:val="00CA567A"/>
    <w:rsid w:val="00CA6CC6"/>
    <w:rsid w:val="00CB7870"/>
    <w:rsid w:val="00CF1C1C"/>
    <w:rsid w:val="00D41AFC"/>
    <w:rsid w:val="00D62740"/>
    <w:rsid w:val="00D95F30"/>
    <w:rsid w:val="00DB4789"/>
    <w:rsid w:val="00E47E78"/>
    <w:rsid w:val="00E8352C"/>
    <w:rsid w:val="00EB5C7D"/>
    <w:rsid w:val="00ED73D6"/>
    <w:rsid w:val="00EE49CA"/>
    <w:rsid w:val="00F134FA"/>
    <w:rsid w:val="00F203B2"/>
    <w:rsid w:val="00F5098B"/>
    <w:rsid w:val="00F71385"/>
    <w:rsid w:val="00F93286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Strelkova</cp:lastModifiedBy>
  <cp:revision>4</cp:revision>
  <cp:lastPrinted>2018-09-06T08:53:00Z</cp:lastPrinted>
  <dcterms:created xsi:type="dcterms:W3CDTF">2018-09-14T07:42:00Z</dcterms:created>
  <dcterms:modified xsi:type="dcterms:W3CDTF">2018-09-14T12:49:00Z</dcterms:modified>
</cp:coreProperties>
</file>