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1551E8FA" w:rsidR="004E705E" w:rsidRPr="004528AC" w:rsidRDefault="00C94CBE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3F521AA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94CBE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2A5A6B93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C94CBE">
        <w:rPr>
          <w:b w:val="0"/>
        </w:rPr>
        <w:t>2017</w:t>
      </w:r>
      <w:r w:rsidRPr="00390CDB">
        <w:rPr>
          <w:b w:val="0"/>
        </w:rPr>
        <w:t xml:space="preserve">.gada </w:t>
      </w:r>
      <w:r w:rsidR="00C94CBE">
        <w:rPr>
          <w:b w:val="0"/>
        </w:rPr>
        <w:t>21.martā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2A6CAD" w14:textId="7B300712" w:rsidR="00390CDB" w:rsidRDefault="00390CDB" w:rsidP="00C94CBE">
      <w:pPr>
        <w:rPr>
          <w:b/>
          <w:bCs/>
          <w:lang w:eastAsia="en-US"/>
        </w:rPr>
      </w:pPr>
    </w:p>
    <w:p w14:paraId="16A22E91" w14:textId="62EB6289" w:rsidR="00C94CBE" w:rsidRPr="00C94CBE" w:rsidRDefault="00C94CBE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C94CBE">
        <w:rPr>
          <w:b/>
          <w:sz w:val="26"/>
        </w:rPr>
        <w:t>“DAUGAVPILS PENSIONĀRU SOCIĀLĀS APKALPOŠANAS TERITORIĀLĀ CENTRA AUTOTRANSPORTA TEHNISKĀ APKOPE UN REMONTS”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1F768A24" w:rsidR="00390CDB" w:rsidRPr="003077E5" w:rsidRDefault="00C83D7B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41BF6DF1" w:rsidR="00390CDB" w:rsidRPr="00B363F0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B363F0">
        <w:rPr>
          <w:b/>
          <w:bCs/>
          <w:lang w:eastAsia="en-US"/>
        </w:rPr>
        <w:t>Iepirkuma priekšmets:</w:t>
      </w:r>
      <w:r w:rsidR="006A2D3C" w:rsidRPr="00B363F0">
        <w:rPr>
          <w:bCs/>
        </w:rPr>
        <w:t xml:space="preserve"> Daugavpils pensionāru sociālās apkalpošanas teritoriālā centra</w:t>
      </w:r>
      <w:r w:rsidRPr="00B363F0">
        <w:rPr>
          <w:b/>
          <w:bCs/>
          <w:lang w:eastAsia="en-US"/>
        </w:rPr>
        <w:t xml:space="preserve"> </w:t>
      </w:r>
      <w:r w:rsidR="00C94CBE" w:rsidRPr="00B363F0">
        <w:rPr>
          <w:bCs/>
        </w:rPr>
        <w:t>autotransporta tehniskā apkope un remonts</w:t>
      </w:r>
      <w:r w:rsidR="006A2D3C" w:rsidRPr="00B363F0">
        <w:rPr>
          <w:bCs/>
        </w:rPr>
        <w:t xml:space="preserve"> </w:t>
      </w:r>
    </w:p>
    <w:p w14:paraId="2E7B34C1" w14:textId="2C2B83F6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233E01">
        <w:rPr>
          <w:bCs/>
          <w:lang w:eastAsia="en-US"/>
        </w:rPr>
        <w:t xml:space="preserve"> 3460</w:t>
      </w:r>
      <w:r w:rsidR="00C94CBE">
        <w:rPr>
          <w:bCs/>
          <w:lang w:eastAsia="en-US"/>
        </w:rPr>
        <w:t>,00</w:t>
      </w:r>
      <w:r w:rsidR="00DB21CE">
        <w:rPr>
          <w:b/>
          <w:bCs/>
          <w:lang w:eastAsia="en-US"/>
        </w:rPr>
        <w:t xml:space="preserve"> </w:t>
      </w:r>
      <w:r w:rsidRPr="00E8102F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4CDCF965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6A2D3C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>.</w:t>
      </w:r>
      <w:r w:rsidR="00C83D7B">
        <w:rPr>
          <w:bCs/>
          <w:lang w:eastAsia="en-US"/>
        </w:rPr>
        <w:t xml:space="preserve"> </w:t>
      </w:r>
    </w:p>
    <w:p w14:paraId="781F680D" w14:textId="2F4CC133" w:rsidR="00C94CBE" w:rsidRPr="00C94CBE" w:rsidRDefault="00390CDB" w:rsidP="00C94CB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8D678E">
        <w:rPr>
          <w:bCs/>
          <w:lang w:eastAsia="en-US"/>
        </w:rPr>
        <w:t xml:space="preserve">: </w:t>
      </w:r>
      <w:r w:rsidR="008D678E" w:rsidRPr="00C94CBE">
        <w:rPr>
          <w:bCs/>
          <w:lang w:eastAsia="en-US"/>
        </w:rPr>
        <w:t xml:space="preserve"> </w:t>
      </w:r>
      <w:r w:rsidR="00C94CBE" w:rsidRPr="00C94CBE">
        <w:rPr>
          <w:bCs/>
          <w:lang w:eastAsia="en-US"/>
        </w:rPr>
        <w:t>(atkarībā no tā, kurš apstāklis iestāsies pirmais)</w:t>
      </w:r>
      <w:r w:rsidR="00C94CBE" w:rsidRPr="00C94CBE">
        <w:rPr>
          <w:b/>
          <w:bCs/>
          <w:lang w:eastAsia="en-US"/>
        </w:rPr>
        <w:t>:</w:t>
      </w:r>
    </w:p>
    <w:p w14:paraId="67E7C410" w14:textId="77777777" w:rsidR="00C94CBE" w:rsidRDefault="00C94CBE" w:rsidP="00C94CBE">
      <w:pPr>
        <w:ind w:left="360"/>
        <w:jc w:val="both"/>
        <w:rPr>
          <w:bCs/>
          <w:lang w:eastAsia="en-US"/>
        </w:rPr>
      </w:pPr>
      <w:r w:rsidRPr="002132A7">
        <w:rPr>
          <w:bCs/>
          <w:lang w:eastAsia="en-US"/>
        </w:rPr>
        <w:t>5</w:t>
      </w:r>
      <w:r>
        <w:rPr>
          <w:bCs/>
          <w:lang w:eastAsia="en-US"/>
        </w:rPr>
        <w:t>.1. līdz 31.12.2017. vai</w:t>
      </w:r>
    </w:p>
    <w:p w14:paraId="41599811" w14:textId="77777777" w:rsidR="00C94CBE" w:rsidRPr="004D4644" w:rsidRDefault="00C94CBE" w:rsidP="00C94CBE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5.2. </w:t>
      </w:r>
      <w:r w:rsidRPr="00025F9B">
        <w:rPr>
          <w:bCs/>
          <w:lang w:eastAsia="en-US"/>
        </w:rPr>
        <w:t>līdz tiek izlietota līguma summa</w:t>
      </w:r>
      <w:r>
        <w:rPr>
          <w:bCs/>
          <w:lang w:eastAsia="en-US"/>
        </w:rPr>
        <w:t>, vai</w:t>
      </w:r>
    </w:p>
    <w:p w14:paraId="252BA07D" w14:textId="77777777" w:rsidR="00C94CBE" w:rsidRDefault="00C94CBE" w:rsidP="00C94CBE">
      <w:pPr>
        <w:suppressAutoHyphens w:val="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5.3. </w:t>
      </w:r>
      <w:r w:rsidRPr="008F13AC">
        <w:t xml:space="preserve">līdz brīdim, kad </w:t>
      </w:r>
      <w:r w:rsidRPr="008F13AC">
        <w:rPr>
          <w:bCs/>
        </w:rPr>
        <w:t>centralizētā iepirkuma rezultātā tiks noslēgts līgums</w:t>
      </w:r>
      <w:r>
        <w:rPr>
          <w:bCs/>
        </w:rPr>
        <w:t xml:space="preserve"> </w:t>
      </w:r>
      <w:r>
        <w:rPr>
          <w:rFonts w:eastAsia="Calibri"/>
          <w:lang w:eastAsia="lv-LV"/>
        </w:rPr>
        <w:t>attiecīgajam pakalpojumam.</w:t>
      </w:r>
    </w:p>
    <w:p w14:paraId="1E2ABF07" w14:textId="25B6FD48" w:rsidR="008D678E" w:rsidRPr="008D678E" w:rsidRDefault="008D678E" w:rsidP="008D678E">
      <w:pPr>
        <w:jc w:val="both"/>
        <w:rPr>
          <w:bCs/>
          <w:lang w:eastAsia="en-US"/>
        </w:rPr>
      </w:pPr>
    </w:p>
    <w:p w14:paraId="7AFB6805" w14:textId="18EAF7D2" w:rsidR="00C26C35" w:rsidRPr="00C26C35" w:rsidRDefault="008D678E" w:rsidP="006A2D3C">
      <w:p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20DBB0BA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C94CBE">
        <w:rPr>
          <w:b/>
          <w:bCs/>
          <w:lang w:eastAsia="en-US"/>
        </w:rPr>
        <w:t>7</w:t>
      </w:r>
      <w:r w:rsidR="00E20DB7" w:rsidRPr="003077E5">
        <w:rPr>
          <w:b/>
          <w:bCs/>
          <w:lang w:eastAsia="en-US"/>
        </w:rPr>
        <w:t xml:space="preserve">.gada </w:t>
      </w:r>
      <w:r w:rsidR="00B363F0">
        <w:rPr>
          <w:b/>
          <w:bCs/>
          <w:lang w:eastAsia="en-US"/>
        </w:rPr>
        <w:t>24</w:t>
      </w:r>
      <w:r w:rsidR="00C94CBE">
        <w:rPr>
          <w:b/>
          <w:bCs/>
          <w:lang w:eastAsia="en-US"/>
        </w:rPr>
        <w:t>.martam</w:t>
      </w:r>
      <w:r w:rsidR="000A5635">
        <w:rPr>
          <w:b/>
          <w:bCs/>
          <w:lang w:eastAsia="en-US"/>
        </w:rPr>
        <w:t>, plkst.10.0</w:t>
      </w:r>
      <w:r w:rsidR="00E20DB7" w:rsidRPr="003077E5">
        <w:rPr>
          <w:b/>
          <w:bCs/>
          <w:lang w:eastAsia="en-US"/>
        </w:rPr>
        <w:t xml:space="preserve">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C94CBE">
        <w:rPr>
          <w:b/>
          <w:bCs/>
          <w:lang w:eastAsia="en-US"/>
        </w:rPr>
        <w:t xml:space="preserve">, vai uz e-pastu: </w:t>
      </w:r>
      <w:r w:rsidR="001348F1">
        <w:fldChar w:fldCharType="begin"/>
      </w:r>
      <w:r w:rsidR="001348F1">
        <w:instrText xml:space="preserve"> HYPERLINK "mailto:daugavpilspansionats@apollo.lv" </w:instrText>
      </w:r>
      <w:r w:rsidR="001348F1">
        <w:fldChar w:fldCharType="separate"/>
      </w:r>
      <w:r w:rsidR="00C94CBE" w:rsidRPr="0042352A">
        <w:rPr>
          <w:rStyle w:val="a3"/>
          <w:b/>
          <w:bCs/>
          <w:lang w:eastAsia="en-US"/>
        </w:rPr>
        <w:t>daugavpilspansionats@apollo.lv</w:t>
      </w:r>
      <w:r w:rsidR="001348F1">
        <w:rPr>
          <w:rStyle w:val="a3"/>
          <w:b/>
          <w:bCs/>
          <w:lang w:eastAsia="en-US"/>
        </w:rPr>
        <w:fldChar w:fldCharType="end"/>
      </w:r>
      <w:r w:rsidR="00C94CBE">
        <w:rPr>
          <w:b/>
          <w:bCs/>
          <w:lang w:eastAsia="en-US"/>
        </w:rPr>
        <w:t xml:space="preserve">   </w:t>
      </w:r>
    </w:p>
    <w:p w14:paraId="778667A1" w14:textId="1AD1B09C" w:rsidR="004E705E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1348F1">
        <w:fldChar w:fldCharType="begin"/>
      </w:r>
      <w:r w:rsidR="001348F1">
        <w:instrText xml:space="preserve"> HYPERLINK "http://www.dpsatc.lv" </w:instrText>
      </w:r>
      <w:r w:rsidR="001348F1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1348F1">
        <w:rPr>
          <w:rStyle w:val="a3"/>
          <w:bCs/>
          <w:lang w:eastAsia="en-US"/>
        </w:rPr>
        <w:fldChar w:fldCharType="end"/>
      </w:r>
      <w:r w:rsidR="00EE2C69">
        <w:rPr>
          <w:bCs/>
          <w:lang w:eastAsia="en-US"/>
        </w:rPr>
        <w:t xml:space="preserve"> </w:t>
      </w:r>
      <w:r w:rsidR="00C94CBE">
        <w:rPr>
          <w:bCs/>
          <w:lang w:eastAsia="en-US"/>
        </w:rPr>
        <w:t xml:space="preserve">, Daugavpils pilsētas domes mājas lapā </w:t>
      </w:r>
      <w:r w:rsidR="001348F1">
        <w:fldChar w:fldCharType="begin"/>
      </w:r>
      <w:r w:rsidR="001348F1">
        <w:instrText xml:space="preserve"> HYPERLINK "http://www.daugavpils.lv" </w:instrText>
      </w:r>
      <w:r w:rsidR="001348F1">
        <w:fldChar w:fldCharType="separate"/>
      </w:r>
      <w:r w:rsidR="00C94CBE" w:rsidRPr="0042352A">
        <w:rPr>
          <w:rStyle w:val="a3"/>
          <w:bCs/>
          <w:lang w:eastAsia="en-US"/>
        </w:rPr>
        <w:t>www.daugavpils.lv</w:t>
      </w:r>
      <w:r w:rsidR="001348F1">
        <w:rPr>
          <w:rStyle w:val="a3"/>
          <w:bCs/>
          <w:lang w:eastAsia="en-US"/>
        </w:rPr>
        <w:fldChar w:fldCharType="end"/>
      </w:r>
    </w:p>
    <w:p w14:paraId="7683654F" w14:textId="77777777" w:rsidR="00C94CBE" w:rsidRPr="00E20DB7" w:rsidRDefault="00C94CBE" w:rsidP="00E20DB7">
      <w:pPr>
        <w:spacing w:after="120"/>
        <w:jc w:val="both"/>
        <w:rPr>
          <w:bCs/>
          <w:lang w:eastAsia="en-US"/>
        </w:rPr>
      </w:pP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0810D179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C94CBE">
        <w:rPr>
          <w:b w:val="0"/>
          <w:caps/>
          <w:sz w:val="24"/>
          <w:szCs w:val="24"/>
        </w:rPr>
        <w:t>21.03</w:t>
      </w:r>
      <w:r w:rsidR="00C46FA6" w:rsidRPr="00E8102F">
        <w:rPr>
          <w:b w:val="0"/>
          <w:caps/>
          <w:sz w:val="24"/>
          <w:szCs w:val="24"/>
        </w:rPr>
        <w:t>.</w:t>
      </w:r>
      <w:r w:rsidR="00C94CBE">
        <w:rPr>
          <w:b w:val="0"/>
          <w:caps/>
          <w:sz w:val="24"/>
          <w:szCs w:val="24"/>
        </w:rPr>
        <w:t>2017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5A7C3EA2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8E37ED">
        <w:rPr>
          <w:b w:val="0"/>
          <w:sz w:val="24"/>
          <w:szCs w:val="24"/>
        </w:rPr>
        <w:t xml:space="preserve"> </w:t>
      </w:r>
      <w:r w:rsidRPr="00C60006">
        <w:rPr>
          <w:b w:val="0"/>
          <w:sz w:val="24"/>
          <w:szCs w:val="24"/>
        </w:rPr>
        <w:t>_____</w:t>
      </w:r>
      <w:r w:rsidR="00E66BE0">
        <w:rPr>
          <w:b w:val="0"/>
          <w:sz w:val="24"/>
          <w:szCs w:val="24"/>
        </w:rPr>
        <w:t>__</w:t>
      </w:r>
      <w:r w:rsidR="008E37ED">
        <w:rPr>
          <w:b w:val="0"/>
          <w:sz w:val="24"/>
          <w:szCs w:val="24"/>
        </w:rPr>
        <w:t>________________________I.Samule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D746B3E" w14:textId="77777777" w:rsidR="006A2D3C" w:rsidRDefault="006A2D3C" w:rsidP="006A2D3C">
      <w:pPr>
        <w:rPr>
          <w:lang w:eastAsia="en-US"/>
        </w:rPr>
      </w:pPr>
    </w:p>
    <w:p w14:paraId="36430B15" w14:textId="77777777" w:rsidR="006A2D3C" w:rsidRDefault="006A2D3C" w:rsidP="006A2D3C">
      <w:pPr>
        <w:rPr>
          <w:lang w:eastAsia="en-US"/>
        </w:rPr>
      </w:pPr>
    </w:p>
    <w:p w14:paraId="28BC8FB5" w14:textId="77777777" w:rsidR="00C94CBE" w:rsidRDefault="00C94CBE" w:rsidP="006A2D3C">
      <w:pPr>
        <w:rPr>
          <w:lang w:eastAsia="en-US"/>
        </w:rPr>
      </w:pPr>
    </w:p>
    <w:p w14:paraId="450CEB23" w14:textId="77777777" w:rsidR="006A2D3C" w:rsidRPr="006A2D3C" w:rsidRDefault="006A2D3C" w:rsidP="006A2D3C">
      <w:pPr>
        <w:rPr>
          <w:lang w:eastAsia="en-US"/>
        </w:rPr>
      </w:pPr>
    </w:p>
    <w:p w14:paraId="33B60BD0" w14:textId="3DEC69FB" w:rsidR="008E37ED" w:rsidRPr="006A2D3C" w:rsidRDefault="0044457A" w:rsidP="006A2D3C">
      <w:pPr>
        <w:suppressAutoHyphens w:val="0"/>
        <w:ind w:left="4248" w:firstLine="708"/>
        <w:jc w:val="right"/>
        <w:rPr>
          <w:b/>
          <w:sz w:val="20"/>
        </w:rPr>
      </w:pPr>
      <w:r w:rsidRPr="00E66BE0">
        <w:rPr>
          <w:b/>
          <w:sz w:val="20"/>
        </w:rPr>
        <w:lastRenderedPageBreak/>
        <w:t>1.Pielikums</w:t>
      </w:r>
      <w:r w:rsidR="004E705E" w:rsidRPr="00E66BE0">
        <w:rPr>
          <w:b/>
          <w:sz w:val="20"/>
        </w:rPr>
        <w:t xml:space="preserve"> </w:t>
      </w:r>
      <w:r w:rsidR="002969AF">
        <w:rPr>
          <w:sz w:val="20"/>
          <w:szCs w:val="20"/>
        </w:rPr>
        <w:t xml:space="preserve"> </w:t>
      </w:r>
    </w:p>
    <w:p w14:paraId="3997AFC4" w14:textId="77777777" w:rsidR="006A2D3C" w:rsidRPr="00E8102F" w:rsidRDefault="006A2D3C" w:rsidP="008E37ED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>„</w:t>
      </w:r>
      <w:r w:rsidR="002969AF" w:rsidRPr="00E8102F">
        <w:rPr>
          <w:b w:val="0"/>
          <w:bCs w:val="0"/>
          <w:sz w:val="20"/>
          <w:szCs w:val="20"/>
        </w:rPr>
        <w:t>Daugavpils pensionāru sociālās</w:t>
      </w:r>
      <w:r w:rsidR="008E37ED" w:rsidRPr="00E8102F">
        <w:rPr>
          <w:b w:val="0"/>
          <w:bCs w:val="0"/>
          <w:sz w:val="20"/>
          <w:szCs w:val="20"/>
        </w:rPr>
        <w:t xml:space="preserve"> </w:t>
      </w:r>
      <w:r w:rsidRPr="00E8102F">
        <w:rPr>
          <w:b w:val="0"/>
          <w:bCs w:val="0"/>
          <w:sz w:val="20"/>
          <w:szCs w:val="20"/>
        </w:rPr>
        <w:t>apkalpošanas teritoriālā centra</w:t>
      </w:r>
    </w:p>
    <w:p w14:paraId="2F396A8C" w14:textId="347990B7" w:rsidR="004E705E" w:rsidRPr="00E8102F" w:rsidRDefault="00C94CBE" w:rsidP="008E37ED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autotransporta tehniskā apkope un remonts</w:t>
      </w:r>
      <w:r w:rsidR="004E705E" w:rsidRPr="00E8102F">
        <w:rPr>
          <w:sz w:val="20"/>
          <w:szCs w:val="20"/>
        </w:rPr>
        <w:t>”</w:t>
      </w:r>
      <w:r w:rsidR="004E705E" w:rsidRPr="00E8102F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00D2ED83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417A95">
        <w:rPr>
          <w:b/>
        </w:rPr>
        <w:t>“</w:t>
      </w:r>
      <w:r w:rsidR="006A2D3C" w:rsidRPr="00E8102F">
        <w:rPr>
          <w:b/>
        </w:rPr>
        <w:t>Daugavpils pensionāru sociālās apkalpošanas teritoriālā cent</w:t>
      </w:r>
      <w:r w:rsidR="00C94CBE">
        <w:rPr>
          <w:b/>
        </w:rPr>
        <w:t>ra autotransporta tehniskā apkope un remonts</w:t>
      </w:r>
      <w:r w:rsidR="0057038D" w:rsidRPr="00E8102F">
        <w:rPr>
          <w:b/>
        </w:rPr>
        <w:t>”</w:t>
      </w:r>
      <w:r w:rsidRPr="00E8102F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3A03F2A2" w14:textId="77777777" w:rsidR="00C94CBE" w:rsidRPr="00E8102F" w:rsidRDefault="00C94CBE" w:rsidP="00C94CBE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>„Daugavpils pensionāru sociālās apkalpošanas teritoriālā centra</w:t>
      </w:r>
    </w:p>
    <w:p w14:paraId="448009DE" w14:textId="77777777" w:rsidR="00C94CBE" w:rsidRPr="00E8102F" w:rsidRDefault="00C94CBE" w:rsidP="00C94CB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autotransporta tehniskā apkope un remonts</w:t>
      </w:r>
      <w:r w:rsidRPr="00E8102F">
        <w:rPr>
          <w:sz w:val="20"/>
          <w:szCs w:val="20"/>
        </w:rPr>
        <w:t>”</w:t>
      </w:r>
      <w:r w:rsidRPr="00E8102F">
        <w:rPr>
          <w:b w:val="0"/>
          <w:bCs w:val="0"/>
          <w:sz w:val="20"/>
          <w:szCs w:val="20"/>
        </w:rPr>
        <w:br/>
      </w:r>
    </w:p>
    <w:p w14:paraId="4EB6C2EE" w14:textId="2F6DF1B4" w:rsidR="002969AF" w:rsidRPr="004528AC" w:rsidRDefault="002969AF" w:rsidP="00D14B37">
      <w:pPr>
        <w:pStyle w:val="2"/>
        <w:rPr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4027DC7A" w14:textId="101ACB54" w:rsidR="006A2D3C" w:rsidRPr="00E8102F" w:rsidRDefault="006A2D3C" w:rsidP="006A2D3C">
      <w:pPr>
        <w:suppressAutoHyphens w:val="0"/>
        <w:spacing w:after="120"/>
        <w:ind w:left="284"/>
        <w:jc w:val="center"/>
        <w:rPr>
          <w:b/>
          <w:bCs/>
          <w:lang w:eastAsia="en-US"/>
        </w:rPr>
      </w:pPr>
      <w:r w:rsidRPr="00E8102F">
        <w:rPr>
          <w:b/>
          <w:bCs/>
        </w:rPr>
        <w:t>Daugavpils pensionāru sociālās apkalpošanas teritoriālā centra</w:t>
      </w:r>
      <w:r w:rsidRPr="00E8102F">
        <w:rPr>
          <w:b/>
          <w:bCs/>
          <w:lang w:eastAsia="en-US"/>
        </w:rPr>
        <w:t xml:space="preserve"> </w:t>
      </w:r>
      <w:r w:rsidR="00C94CBE">
        <w:rPr>
          <w:b/>
          <w:bCs/>
        </w:rPr>
        <w:t>autoransporta tehniskā apkope un remonts</w:t>
      </w:r>
    </w:p>
    <w:p w14:paraId="6A55A629" w14:textId="77777777" w:rsidR="00DB21CE" w:rsidRPr="00F2302F" w:rsidRDefault="00DB21CE" w:rsidP="005E2B3E"/>
    <w:p w14:paraId="408532B4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Pretendenta pienākums ir veikt Daugavpils pensionāru sociālās apkalpošanas teritorialā centra autotransporta līdzekļu tehnisko apkopi, remontu </w:t>
      </w:r>
      <w:r>
        <w:t>un auto rezerves daļu uzstādīšanu</w:t>
      </w:r>
      <w:r w:rsidRPr="0078454C">
        <w:t xml:space="preserve">. Pakalpojums nepieciešami, lai nodrošinātu Pasūtītāja autotransporta pilnvērtīgu darbību atbilstoši satiksmes drošības normām. </w:t>
      </w:r>
    </w:p>
    <w:p w14:paraId="50F6F8F5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Pretendentam jānodrošina autotransporta līdzekļu tehniskās apkopes un remontu veikšana Daugavpils pilsētas administratīvajā teritorijā. </w:t>
      </w:r>
    </w:p>
    <w:p w14:paraId="2DB9B97A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Pretendents par katru automašīnu ierīko datu bāzi, kurā apkopo informāciju par visām automašīnai veiktajām apkopēm un remontiem, ar kuru Pasūtītājs iepazīstas pēc pieprasījuma. </w:t>
      </w:r>
    </w:p>
    <w:p w14:paraId="490D5B6E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Pieņemt autotransportu autoservisā tehnisko apkopju vai remonta veikšanai ne vēlāk kā 1 (vienas) darba dienas laikā pēc pasūtītāja pieteikuma par apkopes vai remonta veikšanas nepieciešamību saņemšanas, sastādot un iesniedzot autotransporta apskates defektu aktu. </w:t>
      </w:r>
    </w:p>
    <w:p w14:paraId="20796A32" w14:textId="4F702E54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Nosūtīt saskaņošanai Pasūtītājam autotransporta tehniskās apkopes vai remonta darbu izmaksu tāmi ne vairāk kā 3 (trīs) stundu laikā pēc autotransporta pieņemšanas autoservisā, norādot tajā darbu nosaukumus, paredzēto darba stundu skaitu un materiālu izmaksas, piemērotās atlaides, kā arī autotransporta rezerves daļu piegādes termiņu un darba izpildes termiņu.  </w:t>
      </w:r>
    </w:p>
    <w:p w14:paraId="6CEBD4D5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Neveikt darbu bez rakstiska darbu izmaksu tāmes saskaņojuma ar Pasūtītāju. </w:t>
      </w:r>
    </w:p>
    <w:p w14:paraId="2E50D2F6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Nekavējoties informēt Pasūtītāju par autotransporta tehniskās apkopes vai remonta laikā papildus darbu veikšanas izmaksām, veicot papildu izmaksu rakstisku saskaņošanu ar Pasūtītāju pirms papildu darbu veikšanas uzsākšanas.  </w:t>
      </w:r>
    </w:p>
    <w:p w14:paraId="6DB9EA47" w14:textId="1DAE3AAA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Nodrošināt autotransporta rezerves daļu piegādi ne vairāk kā 1 (vienas) kalendārās dienas laikā.  </w:t>
      </w:r>
    </w:p>
    <w:p w14:paraId="105D8781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Autotransporta tehnisko apkopi vai remontu veikt saskaņā ar autotransporta izgatavotājrūpnīcas prasībām. </w:t>
      </w:r>
    </w:p>
    <w:p w14:paraId="6F240DF1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Nepieciešamības gadījumā, nodrošināt autotransporta uzglabāšanu apsargātā, apgaismotā un norobežotā autostāvvietā.  </w:t>
      </w:r>
    </w:p>
    <w:p w14:paraId="5537CB96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Pretendents nodrošina Darbu pabeigšanu sekojošos termiņos: </w:t>
      </w:r>
    </w:p>
    <w:p w14:paraId="588A2F34" w14:textId="77777777" w:rsidR="00222C22" w:rsidRPr="0078454C" w:rsidRDefault="00222C22" w:rsidP="00222C22">
      <w:pPr>
        <w:numPr>
          <w:ilvl w:val="1"/>
          <w:numId w:val="37"/>
        </w:numPr>
        <w:suppressAutoHyphens w:val="0"/>
        <w:spacing w:after="26" w:line="248" w:lineRule="auto"/>
        <w:ind w:left="993" w:right="251" w:hanging="566"/>
        <w:jc w:val="both"/>
      </w:pPr>
      <w:r w:rsidRPr="0078454C">
        <w:t xml:space="preserve">Autotransporta tehniskās apkopes gadījumā – ne vēlāk kā 24 (divdesmit četru) stundu laikā no Darbu uzsākšanas brīža; </w:t>
      </w:r>
    </w:p>
    <w:p w14:paraId="4841C571" w14:textId="77777777" w:rsidR="00222C22" w:rsidRPr="0078454C" w:rsidRDefault="00222C22" w:rsidP="00222C22">
      <w:pPr>
        <w:numPr>
          <w:ilvl w:val="1"/>
          <w:numId w:val="37"/>
        </w:numPr>
        <w:suppressAutoHyphens w:val="0"/>
        <w:spacing w:after="26" w:line="248" w:lineRule="auto"/>
        <w:ind w:left="993" w:right="251" w:hanging="566"/>
        <w:jc w:val="both"/>
      </w:pPr>
      <w:r w:rsidRPr="0078454C">
        <w:t>Autotransporta remontu darbu veikšanas</w:t>
      </w:r>
      <w:r>
        <w:t xml:space="preserve"> gadījumā – ne vēlāk kā 5</w:t>
      </w:r>
      <w:r w:rsidRPr="0078454C">
        <w:t xml:space="preserve"> kalendāro dienu laikā no Darbu uzsākšanas brīža. </w:t>
      </w:r>
    </w:p>
    <w:p w14:paraId="1E405AF1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Pretendents garantē, ka autotransporta diagnostiku, remontu un tehnisko apkopi veiks darbinieki ar atbilstošām zināšanām un praktiskām iemaņām. </w:t>
      </w:r>
    </w:p>
    <w:p w14:paraId="25ED8FB1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Pretendents garantē, ka garantijas laiks izpildītajiem remonta darbiem un uzstādītajām detaļām ir vismaz 12 (divpadsmit) mēneši. </w:t>
      </w:r>
    </w:p>
    <w:p w14:paraId="25AE3F5C" w14:textId="77777777" w:rsidR="00222C22" w:rsidRPr="0078454C" w:rsidRDefault="00222C22" w:rsidP="00222C22">
      <w:pPr>
        <w:numPr>
          <w:ilvl w:val="0"/>
          <w:numId w:val="37"/>
        </w:numPr>
        <w:suppressAutoHyphens w:val="0"/>
        <w:spacing w:after="26" w:line="248" w:lineRule="auto"/>
        <w:ind w:hanging="427"/>
        <w:jc w:val="both"/>
      </w:pPr>
      <w:r w:rsidRPr="0078454C">
        <w:t xml:space="preserve"> Daugavpils pensionāru sociālās apkalpošanas teritoriālajā centrā uz iepirkuma izsludināšanas dienu ir šādi transporta līdzekļi: </w:t>
      </w:r>
    </w:p>
    <w:tbl>
      <w:tblPr>
        <w:tblStyle w:val="TableGrid"/>
        <w:tblW w:w="9076" w:type="dxa"/>
        <w:tblInd w:w="142" w:type="dxa"/>
        <w:tblCellMar>
          <w:top w:w="29" w:type="dxa"/>
          <w:left w:w="24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3120"/>
        <w:gridCol w:w="1133"/>
        <w:gridCol w:w="2412"/>
      </w:tblGrid>
      <w:tr w:rsidR="00222C22" w:rsidRPr="0078454C" w14:paraId="41D05E08" w14:textId="77777777" w:rsidTr="001348F1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7FE5" w14:textId="77777777" w:rsidR="00222C22" w:rsidRPr="0078454C" w:rsidRDefault="00222C22" w:rsidP="001348F1">
            <w:pPr>
              <w:spacing w:line="259" w:lineRule="auto"/>
              <w:ind w:left="155"/>
              <w:rPr>
                <w:rFonts w:cs="Times New Roman"/>
              </w:rPr>
            </w:pPr>
            <w:r w:rsidRPr="0078454C">
              <w:rPr>
                <w:rFonts w:eastAsia="Calibri"/>
                <w:noProof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 wp14:anchorId="703B74FD" wp14:editId="3403F217">
                      <wp:extent cx="144589" cy="551688"/>
                      <wp:effectExtent l="0" t="0" r="0" b="0"/>
                      <wp:docPr id="38247" name="Group 38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589" cy="551688"/>
                                <a:chOff x="0" y="0"/>
                                <a:chExt cx="144589" cy="551688"/>
                              </a:xfrm>
                            </wpg:grpSpPr>
                            <wps:wsp>
                              <wps:cNvPr id="3369" name="Rectangle 3369"/>
                              <wps:cNvSpPr/>
                              <wps:spPr>
                                <a:xfrm rot="-5399999">
                                  <a:off x="8697" y="403133"/>
                                  <a:ext cx="139858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EDA3A" w14:textId="77777777" w:rsidR="00C831EA" w:rsidRDefault="00C831EA" w:rsidP="00222C2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0" name="Rectangle 3370"/>
                              <wps:cNvSpPr/>
                              <wps:spPr>
                                <a:xfrm rot="-5399999">
                                  <a:off x="-201930" y="87349"/>
                                  <a:ext cx="596165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99D88D" w14:textId="77777777" w:rsidR="00C831EA" w:rsidRDefault="00C831EA" w:rsidP="00222C2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Nr.p.k.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1" name="Rectangle 3371"/>
                              <wps:cNvSpPr/>
                              <wps:spPr>
                                <a:xfrm rot="-5399999">
                                  <a:off x="72842" y="-84408"/>
                                  <a:ext cx="46619" cy="1923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01F877" w14:textId="77777777" w:rsidR="00C831EA" w:rsidRDefault="00C831EA" w:rsidP="00222C22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B74FD" id="Group 38247" o:spid="_x0000_s1026" style="width:11.4pt;height:43.45pt;mso-position-horizontal-relative:char;mso-position-vertical-relative:line" coordsize="1445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">
                      <v:rect id="Rectangle 3369" o:spid="_x0000_s1027" style="position:absolute;left:86;top:4032;width:1399;height:192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EQ8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J+fzi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REQ8YAAADdAAAADwAAAAAAAAAAAAAAAACYAgAAZHJz&#10;L2Rvd25yZXYueG1sUEsFBgAAAAAEAAQA9QAAAIsDAAAAAA==&#10;" filled="f" stroked="f">
                        <v:textbox inset="0,0,0,0">
                          <w:txbxContent>
                            <w:p w14:paraId="253EDA3A" w14:textId="77777777" w:rsidR="00C831EA" w:rsidRDefault="00C831EA" w:rsidP="00222C2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370" o:spid="_x0000_s1028" style="position:absolute;left:-2018;top:873;width:5960;height:19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7A8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F4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7A8MAAADdAAAADwAAAAAAAAAAAAAAAACYAgAAZHJzL2Rv&#10;d25yZXYueG1sUEsFBgAAAAAEAAQA9QAAAIgDAAAAAA==&#10;" filled="f" stroked="f">
                        <v:textbox inset="0,0,0,0">
                          <w:txbxContent>
                            <w:p w14:paraId="6B99D88D" w14:textId="77777777" w:rsidR="00C831EA" w:rsidRDefault="00C831EA" w:rsidP="00222C2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Nr.p.k.</w:t>
                              </w:r>
                            </w:p>
                          </w:txbxContent>
                        </v:textbox>
                      </v:rect>
                      <v:rect id="Rectangle 3371" o:spid="_x0000_s1029" style="position:absolute;left:729;top:-844;width:465;height:19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emM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iNpj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vemMYAAADdAAAADwAAAAAAAAAAAAAAAACYAgAAZHJz&#10;L2Rvd25yZXYueG1sUEsFBgAAAAAEAAQA9QAAAIsDAAAAAA==&#10;" filled="f" stroked="f">
                        <v:textbox inset="0,0,0,0">
                          <w:txbxContent>
                            <w:p w14:paraId="4001F877" w14:textId="77777777" w:rsidR="00C831EA" w:rsidRDefault="00C831EA" w:rsidP="00222C2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3502" w14:textId="77777777" w:rsidR="00222C22" w:rsidRPr="0078454C" w:rsidRDefault="00222C22" w:rsidP="001348F1">
            <w:pPr>
              <w:spacing w:line="259" w:lineRule="auto"/>
              <w:ind w:left="256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  <w:b/>
              </w:rPr>
              <w:t xml:space="preserve">Transporta līdzeklis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45C7" w14:textId="77777777" w:rsidR="00222C22" w:rsidRPr="0078454C" w:rsidRDefault="00222C22" w:rsidP="001348F1">
            <w:pPr>
              <w:spacing w:line="259" w:lineRule="auto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  <w:b/>
              </w:rPr>
              <w:t xml:space="preserve">Izlaiduma gads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91AD" w14:textId="77777777" w:rsidR="00222C22" w:rsidRPr="0078454C" w:rsidRDefault="00222C22" w:rsidP="001348F1">
            <w:pPr>
              <w:spacing w:line="259" w:lineRule="auto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  <w:b/>
              </w:rPr>
              <w:t>Dzinēja tilpuma (dīzeļdegviela)</w:t>
            </w:r>
          </w:p>
        </w:tc>
      </w:tr>
      <w:tr w:rsidR="00222C22" w:rsidRPr="0078454C" w14:paraId="5F3067CB" w14:textId="77777777" w:rsidTr="001348F1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DFB" w14:textId="77777777" w:rsidR="00222C22" w:rsidRPr="0078454C" w:rsidRDefault="00222C22" w:rsidP="001348F1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C7A9" w14:textId="77777777" w:rsidR="00222C22" w:rsidRPr="0078454C" w:rsidRDefault="00222C22" w:rsidP="001348F1">
            <w:pPr>
              <w:spacing w:line="259" w:lineRule="auto"/>
              <w:ind w:left="458"/>
              <w:rPr>
                <w:rFonts w:cs="Times New Roman"/>
              </w:rPr>
            </w:pPr>
            <w:r w:rsidRPr="0078454C">
              <w:rPr>
                <w:rFonts w:cs="Times New Roman"/>
                <w:b/>
              </w:rPr>
              <w:t xml:space="preserve">nosaukums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7370" w14:textId="77777777" w:rsidR="00222C22" w:rsidRPr="0078454C" w:rsidRDefault="00222C22" w:rsidP="001348F1">
            <w:pPr>
              <w:spacing w:line="259" w:lineRule="auto"/>
              <w:ind w:left="261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  <w:b/>
              </w:rPr>
              <w:t xml:space="preserve">veids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6FC0" w14:textId="77777777" w:rsidR="00222C22" w:rsidRPr="0078454C" w:rsidRDefault="00222C22" w:rsidP="001348F1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C6FA" w14:textId="77777777" w:rsidR="00222C22" w:rsidRPr="0078454C" w:rsidRDefault="00222C22" w:rsidP="001348F1">
            <w:pPr>
              <w:spacing w:after="160" w:line="259" w:lineRule="auto"/>
              <w:rPr>
                <w:rFonts w:cs="Times New Roman"/>
              </w:rPr>
            </w:pPr>
          </w:p>
        </w:tc>
      </w:tr>
      <w:tr w:rsidR="00222C22" w:rsidRPr="0078454C" w14:paraId="57BF8B9F" w14:textId="77777777" w:rsidTr="001348F1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411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9A8A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>Volkswagen Caddy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C39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vieglais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533F" w14:textId="77777777" w:rsidR="00222C22" w:rsidRPr="0078454C" w:rsidRDefault="00222C22" w:rsidP="001348F1">
            <w:pPr>
              <w:spacing w:line="259" w:lineRule="auto"/>
              <w:ind w:left="9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2007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8F19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Dīzeļdegviela (1,9 l) </w:t>
            </w:r>
          </w:p>
        </w:tc>
      </w:tr>
      <w:tr w:rsidR="00222C22" w:rsidRPr="0078454C" w14:paraId="348071AD" w14:textId="77777777" w:rsidTr="001348F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EEC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9B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Renault Trafic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667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>
              <w:rPr>
                <w:rFonts w:cs="Times New Roman"/>
              </w:rPr>
              <w:t xml:space="preserve">vieglais </w:t>
            </w:r>
            <w:r w:rsidRPr="0078454C">
              <w:rPr>
                <w:rFonts w:cs="Times New Roman"/>
              </w:rPr>
              <w:t>pasažieru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0E5" w14:textId="77777777" w:rsidR="00222C22" w:rsidRPr="0078454C" w:rsidRDefault="00222C22" w:rsidP="001348F1">
            <w:pPr>
              <w:spacing w:line="259" w:lineRule="auto"/>
              <w:ind w:left="9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2011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2DD" w14:textId="77777777" w:rsidR="00222C22" w:rsidRPr="0078454C" w:rsidRDefault="00222C22" w:rsidP="001348F1">
            <w:pPr>
              <w:spacing w:line="259" w:lineRule="auto"/>
              <w:ind w:left="84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Dīzeļdegviela (1,9 l) </w:t>
            </w:r>
          </w:p>
        </w:tc>
      </w:tr>
    </w:tbl>
    <w:p w14:paraId="3E95C813" w14:textId="77777777" w:rsidR="00222C22" w:rsidRDefault="00222C22" w:rsidP="00222C22">
      <w:pPr>
        <w:spacing w:after="66" w:line="259" w:lineRule="auto"/>
        <w:rPr>
          <w:sz w:val="16"/>
        </w:rPr>
      </w:pPr>
    </w:p>
    <w:p w14:paraId="13294CA8" w14:textId="77777777" w:rsidR="00222C22" w:rsidRDefault="00222C22" w:rsidP="00222C22">
      <w:pPr>
        <w:spacing w:after="66" w:line="259" w:lineRule="auto"/>
        <w:rPr>
          <w:sz w:val="16"/>
        </w:rPr>
      </w:pPr>
    </w:p>
    <w:p w14:paraId="326E9502" w14:textId="77777777" w:rsidR="00222C22" w:rsidRPr="0078454C" w:rsidRDefault="00222C22" w:rsidP="00222C22">
      <w:pPr>
        <w:spacing w:line="259" w:lineRule="auto"/>
        <w:ind w:right="84"/>
        <w:jc w:val="center"/>
      </w:pPr>
      <w:r w:rsidRPr="0078454C">
        <w:rPr>
          <w:b/>
        </w:rPr>
        <w:t xml:space="preserve">PRASĪBAS PRETENDENTA AUTOSERVISU APRĪKOJUMAM UN </w:t>
      </w:r>
    </w:p>
    <w:p w14:paraId="57574E9C" w14:textId="77777777" w:rsidR="00222C22" w:rsidRPr="0078454C" w:rsidRDefault="00222C22" w:rsidP="00222C22">
      <w:pPr>
        <w:ind w:left="3685" w:hanging="3265"/>
      </w:pPr>
      <w:r w:rsidRPr="0078454C">
        <w:rPr>
          <w:b/>
        </w:rPr>
        <w:t xml:space="preserve">AUTOTRANSPORTA TEHNISKĀS APKOPES UN REMONTA SNIEGŠANAS PAKALPOJUMIEM </w:t>
      </w:r>
    </w:p>
    <w:p w14:paraId="4B6F8B31" w14:textId="77777777" w:rsidR="00222C22" w:rsidRPr="0078454C" w:rsidRDefault="00222C22" w:rsidP="00222C22">
      <w:pPr>
        <w:spacing w:line="259" w:lineRule="auto"/>
      </w:pPr>
      <w:r w:rsidRPr="0078454C">
        <w:rPr>
          <w:sz w:val="6"/>
        </w:rPr>
        <w:t xml:space="preserve"> </w:t>
      </w:r>
    </w:p>
    <w:tbl>
      <w:tblPr>
        <w:tblStyle w:val="TableGrid"/>
        <w:tblW w:w="9216" w:type="dxa"/>
        <w:tblInd w:w="142" w:type="dxa"/>
        <w:tblCellMar>
          <w:top w:w="74" w:type="dxa"/>
          <w:left w:w="53" w:type="dxa"/>
        </w:tblCellMar>
        <w:tblLook w:val="04A0" w:firstRow="1" w:lastRow="0" w:firstColumn="1" w:lastColumn="0" w:noHBand="0" w:noVBand="1"/>
      </w:tblPr>
      <w:tblGrid>
        <w:gridCol w:w="696"/>
        <w:gridCol w:w="5402"/>
        <w:gridCol w:w="1702"/>
        <w:gridCol w:w="1416"/>
      </w:tblGrid>
      <w:tr w:rsidR="00222C22" w:rsidRPr="0078454C" w14:paraId="04704A13" w14:textId="77777777" w:rsidTr="001348F1">
        <w:trPr>
          <w:trHeight w:val="6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AC72" w14:textId="77777777" w:rsidR="00222C22" w:rsidRPr="0078454C" w:rsidRDefault="00222C22" w:rsidP="001348F1">
            <w:pPr>
              <w:spacing w:line="259" w:lineRule="auto"/>
              <w:ind w:left="77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Nr. </w:t>
            </w:r>
          </w:p>
          <w:p w14:paraId="39535C7E" w14:textId="77777777" w:rsidR="00222C22" w:rsidRPr="0078454C" w:rsidRDefault="00222C22" w:rsidP="001348F1">
            <w:pPr>
              <w:spacing w:line="259" w:lineRule="auto"/>
              <w:ind w:left="58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p.k.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27C3" w14:textId="77777777" w:rsidR="00222C22" w:rsidRPr="0078454C" w:rsidRDefault="00222C22" w:rsidP="001348F1">
            <w:pPr>
              <w:spacing w:line="259" w:lineRule="auto"/>
              <w:ind w:right="5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Nosaukums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372" w14:textId="77777777" w:rsidR="00222C22" w:rsidRPr="0078454C" w:rsidRDefault="00222C22" w:rsidP="001348F1">
            <w:pPr>
              <w:spacing w:line="259" w:lineRule="auto"/>
              <w:ind w:right="5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Prasības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63EE" w14:textId="77777777" w:rsidR="00222C22" w:rsidRPr="0078454C" w:rsidRDefault="00222C22" w:rsidP="001348F1">
            <w:pPr>
              <w:spacing w:line="259" w:lineRule="auto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Aizpilda pretendents </w:t>
            </w:r>
          </w:p>
        </w:tc>
      </w:tr>
      <w:tr w:rsidR="00222C22" w:rsidRPr="0078454C" w14:paraId="20EEF1C3" w14:textId="77777777" w:rsidTr="001348F1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7F9C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32A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Autoservisa aprīkojums attiecīgās markas automobiļu tehnisko apkopju un remonta veikšanai: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F6E4" w14:textId="77777777" w:rsidR="00222C22" w:rsidRPr="0078454C" w:rsidRDefault="00222C22" w:rsidP="001348F1">
            <w:pPr>
              <w:spacing w:line="259" w:lineRule="auto"/>
              <w:ind w:right="2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3A21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19C08763" w14:textId="77777777" w:rsidTr="001348F1">
        <w:trPr>
          <w:trHeight w:val="6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D4A" w14:textId="77777777" w:rsidR="00222C22" w:rsidRPr="0078454C" w:rsidRDefault="00222C22" w:rsidP="001348F1">
            <w:pPr>
              <w:spacing w:line="259" w:lineRule="auto"/>
              <w:ind w:right="55"/>
              <w:jc w:val="right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1.1.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33E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iekārta automobiļu dzinēja un elektriskās sistēmas diagnostikai (t.sk. programmnodrošinājums)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86AD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7CEF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1866FE6D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9B0A" w14:textId="77777777" w:rsidR="00222C22" w:rsidRPr="0078454C" w:rsidRDefault="00222C22" w:rsidP="001348F1">
            <w:pPr>
              <w:spacing w:line="259" w:lineRule="auto"/>
              <w:ind w:right="55"/>
              <w:jc w:val="right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1.2.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958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stends automobiļu bremžu sistēmas pārbaudei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ECF9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FBA6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3C14E8EE" w14:textId="77777777" w:rsidTr="001348F1">
        <w:trPr>
          <w:trHeight w:val="6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5D76" w14:textId="77777777" w:rsidR="00222C22" w:rsidRPr="0078454C" w:rsidRDefault="00222C22" w:rsidP="001348F1">
            <w:pPr>
              <w:spacing w:line="259" w:lineRule="auto"/>
              <w:ind w:right="55"/>
              <w:jc w:val="right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1.3.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4BE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stends amortizatoru pārbaudei (tikai vieglajiem automobiļiem)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14CD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C5FB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03A2437D" w14:textId="77777777" w:rsidTr="001348F1">
        <w:trPr>
          <w:trHeight w:val="3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B587" w14:textId="77777777" w:rsidR="00222C22" w:rsidRPr="0078454C" w:rsidRDefault="00222C22" w:rsidP="001348F1">
            <w:pPr>
              <w:spacing w:line="259" w:lineRule="auto"/>
              <w:ind w:right="55"/>
              <w:jc w:val="right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1.4.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AA6C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stends riteņu ģeometrijas pārbaudei un regulēšanai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DBC7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6CBC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54921005" w14:textId="77777777" w:rsidTr="001348F1">
        <w:trPr>
          <w:trHeight w:val="9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C810" w14:textId="77777777" w:rsidR="00222C22" w:rsidRPr="0078454C" w:rsidRDefault="00222C22" w:rsidP="001348F1">
            <w:pPr>
              <w:spacing w:line="259" w:lineRule="auto"/>
              <w:ind w:right="55"/>
              <w:jc w:val="right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1.5.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363" w14:textId="77777777" w:rsidR="00222C22" w:rsidRPr="0078454C" w:rsidRDefault="00222C22" w:rsidP="001348F1">
            <w:pPr>
              <w:spacing w:line="259" w:lineRule="auto"/>
              <w:ind w:right="56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automobiļu izgatavotājrūpnīcas noteikts, automobiļu remontam paredzēts speciālo instrumentu komplekts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81F0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9DEA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0E51A577" w14:textId="77777777" w:rsidTr="001348F1">
        <w:trPr>
          <w:trHeight w:val="9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6CF5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2.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E04" w14:textId="77777777" w:rsidR="00222C22" w:rsidRPr="0078454C" w:rsidRDefault="00222C22" w:rsidP="001348F1">
            <w:pPr>
              <w:spacing w:line="259" w:lineRule="auto"/>
              <w:ind w:right="53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Automobiļu izgatavotājrūpnīcas, oficiālā importētāja vai to sertificēta apmācības personāla apmācīti autoservisa mehāniķi attiecīgo automobiļu marku tehniskā stāvokļa diagnosticēšanai, tehnisko apkopju un remontu veikšanai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BCF8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6BCE" w14:textId="77777777" w:rsidR="00222C22" w:rsidRPr="0078454C" w:rsidRDefault="00222C22" w:rsidP="001348F1">
            <w:pPr>
              <w:spacing w:line="259" w:lineRule="auto"/>
              <w:ind w:right="5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06A4ECD8" w14:textId="77777777" w:rsidTr="001348F1">
        <w:trPr>
          <w:trHeight w:val="3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1B9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3.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7897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Autoservisa darba laiks vienā darba dienā (stundas)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FF5D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69B3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698C1C62" w14:textId="77777777" w:rsidTr="001348F1">
        <w:trPr>
          <w:trHeight w:val="6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D4D8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4.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02B0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Garantijas laiks uzstādītajām oriģinālajam rezerves daļām (mēneši)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F7D3" w14:textId="77777777" w:rsidR="00222C22" w:rsidRPr="0078454C" w:rsidRDefault="00222C22" w:rsidP="001348F1">
            <w:pPr>
              <w:spacing w:line="259" w:lineRule="auto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ne mazāk par 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325E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4EA8270B" w14:textId="77777777" w:rsidTr="001348F1">
        <w:trPr>
          <w:trHeight w:val="90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C72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5.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A05" w14:textId="77777777" w:rsidR="00222C22" w:rsidRPr="0078454C" w:rsidRDefault="00222C22" w:rsidP="001348F1">
            <w:pPr>
              <w:spacing w:after="2" w:line="238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Norobežota, apsargāta un apgaismota autostāvvieta automobiļu novietošanai darbu veikšanas </w:t>
            </w:r>
          </w:p>
          <w:p w14:paraId="0B486C09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pārtraukuma un rezerves daļu piegādes laikā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3D0E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2D3B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78121340" w14:textId="77777777" w:rsidTr="001348F1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F84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01B9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Autotransporta </w:t>
            </w:r>
            <w:r w:rsidRPr="0078454C">
              <w:rPr>
                <w:rFonts w:cs="Times New Roman"/>
              </w:rPr>
              <w:tab/>
              <w:t xml:space="preserve">līdzekļu </w:t>
            </w:r>
            <w:r w:rsidRPr="0078454C">
              <w:rPr>
                <w:rFonts w:cs="Times New Roman"/>
              </w:rPr>
              <w:tab/>
              <w:t xml:space="preserve">tehniskā </w:t>
            </w:r>
            <w:r w:rsidRPr="0078454C">
              <w:rPr>
                <w:rFonts w:cs="Times New Roman"/>
              </w:rPr>
              <w:tab/>
              <w:t xml:space="preserve">apkope </w:t>
            </w:r>
            <w:r w:rsidRPr="0078454C">
              <w:rPr>
                <w:rFonts w:cs="Times New Roman"/>
              </w:rPr>
              <w:tab/>
              <w:t xml:space="preserve">un remonts, tai skaitā: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D6B8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39BE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3C59E2CA" w14:textId="77777777" w:rsidTr="001348F1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74C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.1.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C1ED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Dzinēja diagnostika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697B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58FE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56EDF002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230B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.2.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37A9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Elektrosistēmas diagnostika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1FFF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5B2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4DE07D00" w14:textId="77777777" w:rsidTr="001348F1">
        <w:trPr>
          <w:trHeight w:val="3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E79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.3.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117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Ritošās daļas diagnostika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84D8" w14:textId="77777777" w:rsidR="00222C22" w:rsidRPr="0078454C" w:rsidRDefault="00222C22" w:rsidP="001348F1">
            <w:pPr>
              <w:spacing w:line="259" w:lineRule="auto"/>
              <w:ind w:right="52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095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511D54D7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DAB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.4.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CB3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Dzinēja remonts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839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E3CF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6D622FA6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15F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Pr="0078454C">
              <w:rPr>
                <w:rFonts w:cs="Times New Roman"/>
              </w:rPr>
              <w:t xml:space="preserve">.5.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DE7A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Elektrosistēmas remonts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B6A1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FCD3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0654C13B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D07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.6.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3AC6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Ritošās daļas remonts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0B2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A12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0B2A7951" w14:textId="77777777" w:rsidTr="001348F1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2FF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.7.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42D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Riteņu balsta iekārtas regulēšana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9FC8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A8E6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1D4EA38C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244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.8.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39A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Riepu maiņa, montāža, balansēšana un remonts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5908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3038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5F9D07B1" w14:textId="77777777" w:rsidTr="001348F1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E51C" w14:textId="77777777" w:rsidR="00222C22" w:rsidRPr="0078454C" w:rsidRDefault="00222C22" w:rsidP="001348F1">
            <w:pPr>
              <w:spacing w:line="259" w:lineRule="auto"/>
              <w:ind w:right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.9.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464E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Periodiskā automašīnas apkope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DDCD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D58B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22BBA72B" w14:textId="77777777" w:rsidTr="001348F1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F51B" w14:textId="77777777" w:rsidR="00222C22" w:rsidRPr="0078454C" w:rsidRDefault="00222C22" w:rsidP="001348F1">
            <w:pPr>
              <w:spacing w:line="259" w:lineRule="auto"/>
              <w:ind w:left="96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.10.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48E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Remontam nepieciešamo rezerves daļu iegāde un nomaiņa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C399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9E45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2037C07C" w14:textId="77777777" w:rsidTr="001348F1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D7E4" w14:textId="77777777" w:rsidR="00222C22" w:rsidRPr="0078454C" w:rsidRDefault="00222C22" w:rsidP="001348F1">
            <w:pPr>
              <w:spacing w:line="259" w:lineRule="auto"/>
              <w:ind w:left="96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.11.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134E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Diennakts evakuatora pakalpojumi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A22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692E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5818DA53" w14:textId="77777777" w:rsidTr="001348F1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266C" w14:textId="77777777" w:rsidR="00222C22" w:rsidRPr="0078454C" w:rsidRDefault="00222C22" w:rsidP="001348F1">
            <w:pPr>
              <w:spacing w:line="259" w:lineRule="auto"/>
              <w:ind w:left="96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.12.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AC0" w14:textId="77777777" w:rsidR="00222C22" w:rsidRPr="0078454C" w:rsidRDefault="00222C22" w:rsidP="001348F1">
            <w:pPr>
              <w:spacing w:line="259" w:lineRule="auto"/>
              <w:ind w:left="55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Automašīnas </w:t>
            </w:r>
            <w:r w:rsidRPr="0078454C">
              <w:rPr>
                <w:rFonts w:cs="Times New Roman"/>
              </w:rPr>
              <w:tab/>
              <w:t xml:space="preserve">sagatavošana </w:t>
            </w:r>
            <w:r w:rsidRPr="0078454C">
              <w:rPr>
                <w:rFonts w:cs="Times New Roman"/>
              </w:rPr>
              <w:tab/>
              <w:t xml:space="preserve">un </w:t>
            </w:r>
            <w:r w:rsidRPr="0078454C">
              <w:rPr>
                <w:rFonts w:cs="Times New Roman"/>
              </w:rPr>
              <w:tab/>
              <w:t xml:space="preserve">piestādīšana tehniskajai apskatei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3676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71F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  <w:tr w:rsidR="00222C22" w:rsidRPr="0078454C" w14:paraId="5D67BFF1" w14:textId="77777777" w:rsidTr="001348F1">
        <w:trPr>
          <w:trHeight w:val="9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8BB" w14:textId="77777777" w:rsidR="00222C22" w:rsidRPr="0078454C" w:rsidRDefault="00222C22" w:rsidP="001348F1">
            <w:pPr>
              <w:spacing w:line="259" w:lineRule="auto"/>
              <w:ind w:left="96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8454C">
              <w:rPr>
                <w:rFonts w:cs="Times New Roman"/>
              </w:rPr>
              <w:t xml:space="preserve">.13.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AF5" w14:textId="77777777" w:rsidR="00222C22" w:rsidRPr="0078454C" w:rsidRDefault="00222C22" w:rsidP="001348F1">
            <w:pPr>
              <w:spacing w:line="259" w:lineRule="auto"/>
              <w:ind w:left="55" w:right="106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Un citi darbi, kas nepieciešami, lai nodrošinātu pasūtītāja autotransporta pilnvērtīgu darbību atbilstoši satiksmes drošības normām.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BEB6" w14:textId="77777777" w:rsidR="00222C22" w:rsidRPr="0078454C" w:rsidRDefault="00222C22" w:rsidP="001348F1">
            <w:pPr>
              <w:spacing w:line="259" w:lineRule="auto"/>
              <w:ind w:right="5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nodrošina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A08" w14:textId="77777777" w:rsidR="00222C22" w:rsidRPr="0078454C" w:rsidRDefault="00222C22" w:rsidP="001348F1">
            <w:pPr>
              <w:spacing w:line="259" w:lineRule="auto"/>
              <w:ind w:right="3"/>
              <w:jc w:val="center"/>
              <w:rPr>
                <w:rFonts w:cs="Times New Roman"/>
              </w:rPr>
            </w:pPr>
            <w:r w:rsidRPr="0078454C">
              <w:rPr>
                <w:rFonts w:cs="Times New Roman"/>
              </w:rPr>
              <w:t xml:space="preserve"> </w:t>
            </w:r>
          </w:p>
        </w:tc>
      </w:tr>
    </w:tbl>
    <w:p w14:paraId="067DF1F7" w14:textId="77777777" w:rsidR="00240D29" w:rsidRDefault="00240D29" w:rsidP="00F2302F">
      <w:pPr>
        <w:suppressAutoHyphens w:val="0"/>
      </w:pPr>
    </w:p>
    <w:p w14:paraId="52E29E16" w14:textId="76F2C304" w:rsidR="00233E01" w:rsidRDefault="00233E01" w:rsidP="00F2302F">
      <w:pPr>
        <w:suppressAutoHyphens w:val="0"/>
      </w:pPr>
      <w:r>
        <w:tab/>
        <w:t>Pasūtītājam nav pienākums izmantot visus pakalpojumus un rezerves daļas, kuri noteikti tehniskā specifikācijā.</w:t>
      </w:r>
    </w:p>
    <w:p w14:paraId="1B8F0B5F" w14:textId="77777777" w:rsidR="00233E01" w:rsidRDefault="00233E01" w:rsidP="00F2302F">
      <w:pPr>
        <w:suppressAutoHyphens w:val="0"/>
      </w:pPr>
    </w:p>
    <w:p w14:paraId="67A4C8EA" w14:textId="77777777" w:rsidR="00233E01" w:rsidRDefault="00233E01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30082619" w:rsidR="00F2302F" w:rsidRPr="00F2302F" w:rsidRDefault="00C22284" w:rsidP="00F2302F">
      <w:pPr>
        <w:suppressAutoHyphens w:val="0"/>
      </w:pPr>
      <w:r>
        <w:t>Iepirkumu komisijas priekšsēdētāja_____</w:t>
      </w:r>
      <w:r w:rsidR="00B156D9">
        <w:t>__</w:t>
      </w:r>
      <w:r w:rsidR="00D14B37">
        <w:t>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584A120C" w14:textId="77777777" w:rsidR="00C94CBE" w:rsidRPr="00E8102F" w:rsidRDefault="00C94CBE" w:rsidP="00C94CBE">
      <w:pPr>
        <w:pStyle w:val="2"/>
        <w:rPr>
          <w:b w:val="0"/>
          <w:bCs w:val="0"/>
          <w:sz w:val="20"/>
          <w:szCs w:val="20"/>
        </w:rPr>
      </w:pPr>
      <w:r w:rsidRPr="00E8102F">
        <w:rPr>
          <w:b w:val="0"/>
          <w:bCs w:val="0"/>
          <w:sz w:val="20"/>
          <w:szCs w:val="20"/>
        </w:rPr>
        <w:t>„Daugavpils pensionāru sociālās apkalpošanas teritoriālā centra</w:t>
      </w:r>
    </w:p>
    <w:p w14:paraId="2CA346FA" w14:textId="77777777" w:rsidR="00C94CBE" w:rsidRPr="00E8102F" w:rsidRDefault="00C94CBE" w:rsidP="00C94CB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autotransporta tehniskā apkope un remonts</w:t>
      </w:r>
      <w:r w:rsidRPr="00E8102F">
        <w:rPr>
          <w:sz w:val="20"/>
          <w:szCs w:val="20"/>
        </w:rPr>
        <w:t>”</w:t>
      </w:r>
      <w:r w:rsidRPr="00E8102F">
        <w:rPr>
          <w:b w:val="0"/>
          <w:bCs w:val="0"/>
          <w:sz w:val="20"/>
          <w:szCs w:val="20"/>
        </w:rPr>
        <w:br/>
      </w:r>
    </w:p>
    <w:p w14:paraId="0AD0675C" w14:textId="7F075B64" w:rsidR="00A1369B" w:rsidRPr="003B05A1" w:rsidRDefault="00A1369B" w:rsidP="003B05A1">
      <w:pPr>
        <w:pStyle w:val="2"/>
        <w:rPr>
          <w:b w:val="0"/>
          <w:bCs w:val="0"/>
          <w:color w:val="FF0000"/>
          <w:sz w:val="20"/>
          <w:szCs w:val="20"/>
        </w:rPr>
      </w:pPr>
    </w:p>
    <w:p w14:paraId="567EFE72" w14:textId="6296E4FA" w:rsidR="00134228" w:rsidRDefault="00134228" w:rsidP="00A1369B">
      <w:r w:rsidRPr="004528AC">
        <w:t>201</w:t>
      </w:r>
      <w:r w:rsidR="00B363F0">
        <w:t>7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3B05A1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3B05A1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3B05A1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F8885D9" w14:textId="2EED1146" w:rsidR="00DB21CE" w:rsidRDefault="00A8370B" w:rsidP="003B05A1">
      <w:pPr>
        <w:suppressAutoHyphens w:val="0"/>
        <w:jc w:val="both"/>
      </w:pPr>
      <w:r w:rsidRPr="00A8370B">
        <w:t>Piedāvājam Jums pēc Jūsu pieprasījuma</w:t>
      </w:r>
      <w:r w:rsidR="00222C22">
        <w:t xml:space="preserve"> veikt</w:t>
      </w:r>
      <w:r w:rsidR="00854AB4">
        <w:t xml:space="preserve"> </w:t>
      </w:r>
      <w:r w:rsidR="00854AB4" w:rsidRPr="00E8102F">
        <w:rPr>
          <w:bCs/>
        </w:rPr>
        <w:t>Daugavpils pensionāru sociālās apkalpošanas teritoriālā centra</w:t>
      </w:r>
      <w:r w:rsidR="00222C22">
        <w:rPr>
          <w:bCs/>
        </w:rPr>
        <w:t xml:space="preserve"> autotransportu tehnisko apkopi un remontu</w:t>
      </w:r>
      <w:r w:rsidR="00854AB4" w:rsidRPr="00E8102F">
        <w:rPr>
          <w:b/>
          <w:bCs/>
          <w:lang w:eastAsia="en-US"/>
        </w:rPr>
        <w:t xml:space="preserve"> </w:t>
      </w:r>
      <w:r w:rsidR="00854AB4" w:rsidRPr="00E8102F">
        <w:rPr>
          <w:bCs/>
        </w:rPr>
        <w:t xml:space="preserve"> </w:t>
      </w:r>
      <w:r w:rsidR="000960C1">
        <w:t>par šādām cenām</w:t>
      </w:r>
      <w:r w:rsidR="00A1369B">
        <w:t>: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0"/>
        <w:gridCol w:w="8"/>
        <w:gridCol w:w="1842"/>
        <w:gridCol w:w="10"/>
        <w:gridCol w:w="2117"/>
        <w:gridCol w:w="6"/>
        <w:gridCol w:w="1411"/>
        <w:gridCol w:w="6"/>
        <w:gridCol w:w="1553"/>
      </w:tblGrid>
      <w:tr w:rsidR="00C831EA" w:rsidRPr="0078454C" w14:paraId="4A77203B" w14:textId="5F75A6D8" w:rsidTr="00C831EA">
        <w:trPr>
          <w:trHeight w:val="5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C3433" w14:textId="77777777" w:rsidR="00C831EA" w:rsidRPr="0078454C" w:rsidRDefault="00C831EA" w:rsidP="001348F1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6EB95" w14:textId="6BD77520" w:rsidR="00C831EA" w:rsidRPr="00C831EA" w:rsidRDefault="00C831EA" w:rsidP="001348F1">
            <w:pPr>
              <w:ind w:left="30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831EA">
              <w:rPr>
                <w:b/>
                <w:bCs/>
                <w:sz w:val="20"/>
                <w:szCs w:val="20"/>
                <w:lang w:eastAsia="lv-LV"/>
              </w:rPr>
              <w:t>Transportlīdzekļu veids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16A6A" w14:textId="77777777" w:rsidR="00C831EA" w:rsidRPr="00C831EA" w:rsidRDefault="00C831EA" w:rsidP="00C831E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E99DD" w14:textId="434A072E" w:rsidR="00C831EA" w:rsidRPr="00C831EA" w:rsidRDefault="00B363F0" w:rsidP="00222C22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Renault Trafic rezerves daļas</w:t>
            </w:r>
            <w:r w:rsidR="00C831EA" w:rsidRPr="00C831EA">
              <w:rPr>
                <w:b/>
                <w:bCs/>
                <w:sz w:val="20"/>
                <w:szCs w:val="20"/>
                <w:lang w:eastAsia="lv-LV"/>
              </w:rPr>
              <w:t xml:space="preserve"> cena kopā  </w:t>
            </w:r>
            <w:r w:rsidR="00C831EA" w:rsidRPr="00C831EA">
              <w:rPr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C831EA" w:rsidRPr="00C831EA">
              <w:rPr>
                <w:b/>
                <w:bCs/>
                <w:sz w:val="20"/>
                <w:szCs w:val="20"/>
                <w:lang w:eastAsia="lv-LV"/>
              </w:rPr>
              <w:t xml:space="preserve"> bez PVN </w:t>
            </w:r>
          </w:p>
        </w:tc>
      </w:tr>
      <w:tr w:rsidR="00222C22" w:rsidRPr="0078454C" w14:paraId="1085624F" w14:textId="6208913D" w:rsidTr="00C831EA">
        <w:trPr>
          <w:trHeight w:val="15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517F" w14:textId="77777777" w:rsidR="00222C22" w:rsidRPr="0078454C" w:rsidRDefault="00222C22" w:rsidP="001348F1">
            <w:pPr>
              <w:rPr>
                <w:b/>
                <w:bCs/>
                <w:lang w:eastAsia="lv-LV"/>
              </w:rPr>
            </w:pPr>
            <w:r w:rsidRPr="0078454C">
              <w:rPr>
                <w:b/>
                <w:bCs/>
                <w:lang w:eastAsia="lv-LV"/>
              </w:rPr>
              <w:t>Aptuvenais iespējamais darbu uzskaitījums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5BB6" w14:textId="77777777" w:rsidR="00222C22" w:rsidRPr="00B363F0" w:rsidRDefault="00222C22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63F0">
              <w:rPr>
                <w:b/>
                <w:bCs/>
                <w:sz w:val="20"/>
                <w:szCs w:val="20"/>
                <w:lang w:eastAsia="lv-LV"/>
              </w:rPr>
              <w:t>Volkswagen Caddy, 2007.g.      1,9 dīzeļdegviela</w:t>
            </w:r>
          </w:p>
          <w:p w14:paraId="71D6B637" w14:textId="77777777" w:rsidR="00222C22" w:rsidRPr="00B363F0" w:rsidRDefault="00222C22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63F0">
              <w:rPr>
                <w:b/>
                <w:bCs/>
                <w:sz w:val="20"/>
                <w:szCs w:val="20"/>
                <w:lang w:eastAsia="lv-LV"/>
              </w:rPr>
              <w:t>VIN WV2ZZZ2KZ7X049558</w:t>
            </w:r>
          </w:p>
          <w:p w14:paraId="6F1E4881" w14:textId="76AC08BA" w:rsidR="00C831EA" w:rsidRPr="00B363F0" w:rsidRDefault="00C831EA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63F0">
              <w:rPr>
                <w:b/>
                <w:bCs/>
                <w:sz w:val="20"/>
                <w:szCs w:val="20"/>
                <w:lang w:eastAsia="lv-LV"/>
              </w:rPr>
              <w:t xml:space="preserve">Maksa par 1 stundas pakalpojumiem </w:t>
            </w:r>
            <w:r w:rsidRPr="00B363F0">
              <w:rPr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Pr="00B363F0">
              <w:rPr>
                <w:b/>
                <w:bCs/>
                <w:sz w:val="20"/>
                <w:szCs w:val="20"/>
                <w:lang w:eastAsia="lv-LV"/>
              </w:rPr>
              <w:t xml:space="preserve"> bez PVN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7293" w14:textId="77777777" w:rsidR="00222C22" w:rsidRPr="00B363F0" w:rsidRDefault="00222C22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63F0">
              <w:rPr>
                <w:b/>
                <w:bCs/>
                <w:sz w:val="20"/>
                <w:szCs w:val="20"/>
                <w:lang w:eastAsia="lv-LV"/>
              </w:rPr>
              <w:t>Renault Trafic, 2011.g.      1.9 dīzeļdegviela</w:t>
            </w:r>
          </w:p>
          <w:p w14:paraId="40D7C201" w14:textId="77777777" w:rsidR="00222C22" w:rsidRPr="00B363F0" w:rsidRDefault="00222C22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63F0">
              <w:rPr>
                <w:b/>
                <w:bCs/>
                <w:sz w:val="20"/>
                <w:szCs w:val="20"/>
                <w:lang w:eastAsia="lv-LV"/>
              </w:rPr>
              <w:t>VIN VF1JLBHBSCV420352</w:t>
            </w:r>
          </w:p>
          <w:p w14:paraId="12C85908" w14:textId="303A72B6" w:rsidR="00C831EA" w:rsidRPr="00B363F0" w:rsidRDefault="00C831EA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B363F0">
              <w:rPr>
                <w:b/>
                <w:bCs/>
                <w:sz w:val="20"/>
                <w:szCs w:val="20"/>
                <w:lang w:eastAsia="lv-LV"/>
              </w:rPr>
              <w:t xml:space="preserve">Maksa par 1 stundas pakalpojumiem </w:t>
            </w:r>
            <w:r w:rsidRPr="00B363F0">
              <w:rPr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Pr="00B363F0">
              <w:rPr>
                <w:b/>
                <w:bCs/>
                <w:sz w:val="20"/>
                <w:szCs w:val="20"/>
                <w:lang w:eastAsia="lv-LV"/>
              </w:rPr>
              <w:t xml:space="preserve"> bez PVN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E5D3" w14:textId="16B2E6C6" w:rsidR="00222C22" w:rsidRDefault="00C831EA" w:rsidP="00C831E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831EA">
              <w:rPr>
                <w:b/>
                <w:bCs/>
                <w:sz w:val="20"/>
                <w:szCs w:val="20"/>
                <w:lang w:eastAsia="lv-LV"/>
              </w:rPr>
              <w:t>Volkswagen Caddy</w:t>
            </w:r>
            <w:r w:rsidR="00B363F0">
              <w:rPr>
                <w:b/>
                <w:bCs/>
                <w:sz w:val="20"/>
                <w:szCs w:val="20"/>
                <w:lang w:eastAsia="lv-LV"/>
              </w:rPr>
              <w:t xml:space="preserve"> rezerves daļas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cena</w:t>
            </w:r>
          </w:p>
          <w:p w14:paraId="2B0C437A" w14:textId="7E35AEE2" w:rsidR="00C831EA" w:rsidRPr="00C831EA" w:rsidRDefault="00C831EA" w:rsidP="00C831EA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831EA">
              <w:rPr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Pr="00C831EA">
              <w:rPr>
                <w:b/>
                <w:bCs/>
                <w:sz w:val="20"/>
                <w:szCs w:val="20"/>
                <w:lang w:eastAsia="lv-LV"/>
              </w:rPr>
              <w:t xml:space="preserve"> bez PVN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8B064" w14:textId="77777777" w:rsidR="00222C22" w:rsidRPr="00C831EA" w:rsidRDefault="00222C22" w:rsidP="001348F1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222C22" w:rsidRPr="0078454C" w14:paraId="1D1C9F19" w14:textId="6EDCE0F0" w:rsidTr="00C831EA">
        <w:trPr>
          <w:trHeight w:val="80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138F" w14:textId="77777777" w:rsidR="00222C22" w:rsidRPr="0078454C" w:rsidRDefault="00222C22" w:rsidP="001348F1">
            <w:pPr>
              <w:rPr>
                <w:b/>
                <w:bCs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20A0" w14:textId="77777777" w:rsidR="00222C22" w:rsidRPr="0078454C" w:rsidRDefault="00222C22" w:rsidP="001348F1">
            <w:pPr>
              <w:jc w:val="center"/>
              <w:rPr>
                <w:b/>
                <w:bCs/>
                <w:lang w:eastAsia="lv-LV"/>
              </w:rPr>
            </w:pPr>
            <w:r w:rsidRPr="0078454C">
              <w:rPr>
                <w:b/>
                <w:bCs/>
                <w:lang w:eastAsia="lv-LV"/>
              </w:rPr>
              <w:t>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8580" w14:textId="77777777" w:rsidR="00222C22" w:rsidRPr="0078454C" w:rsidRDefault="00222C22" w:rsidP="001348F1">
            <w:pPr>
              <w:jc w:val="center"/>
              <w:rPr>
                <w:b/>
                <w:bCs/>
                <w:lang w:eastAsia="lv-LV"/>
              </w:rPr>
            </w:pPr>
            <w:r w:rsidRPr="0078454C">
              <w:rPr>
                <w:b/>
                <w:bCs/>
                <w:lang w:eastAsia="lv-LV"/>
              </w:rPr>
              <w:t>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3E37" w14:textId="77777777" w:rsidR="00222C22" w:rsidRPr="0078454C" w:rsidRDefault="00222C22" w:rsidP="001348F1">
            <w:pPr>
              <w:jc w:val="center"/>
              <w:rPr>
                <w:b/>
                <w:bCs/>
                <w:lang w:eastAsia="lv-LV"/>
              </w:rPr>
            </w:pPr>
            <w:r w:rsidRPr="0078454C">
              <w:rPr>
                <w:b/>
                <w:bCs/>
                <w:lang w:eastAsia="lv-LV"/>
              </w:rPr>
              <w:t>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E5033" w14:textId="21A4E092" w:rsidR="00222C22" w:rsidRPr="0078454C" w:rsidRDefault="00C831EA" w:rsidP="001348F1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D</w:t>
            </w:r>
          </w:p>
        </w:tc>
      </w:tr>
      <w:tr w:rsidR="00222C22" w:rsidRPr="0078454C" w14:paraId="16D66D7C" w14:textId="7C47757D" w:rsidTr="00C831EA">
        <w:trPr>
          <w:trHeight w:val="351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30C3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Riteņu gultņa nomaiņa (viens priekšējais)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88E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B44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B23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328C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757B5F12" w14:textId="48EF6721" w:rsidTr="00C831EA">
        <w:trPr>
          <w:trHeight w:val="284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2DEAD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Riteņu gultņa nomaiņa (viens aizmugurējais)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684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D53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6B8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42FD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48568DC" w14:textId="6FBCE0B6" w:rsidTr="00C831EA">
        <w:trPr>
          <w:trHeight w:val="7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379E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Amortizatoru nomaiņa (abu priekšējo)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87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5C5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8D8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5A57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33611D8D" w14:textId="3FAACAE2" w:rsidTr="00C831EA">
        <w:trPr>
          <w:trHeight w:val="42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7A38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Amortizatoru nomaiņa (abu aizmugurējo)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75F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1A0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AF0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6207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CA2ECBE" w14:textId="358818F9" w:rsidTr="00C831EA">
        <w:trPr>
          <w:trHeight w:val="7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7AEC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Stabilizatora nomaiņa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37B4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96C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172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2D49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313DE7E" w14:textId="561246F2" w:rsidTr="00C831EA">
        <w:trPr>
          <w:trHeight w:val="24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153C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Priekšējo bremžu kluču nomaiņa (abiem riteņiem)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5AF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8A1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CF2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A48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19292DF" w14:textId="160DB1FB" w:rsidTr="00C831EA">
        <w:trPr>
          <w:trHeight w:val="7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B3AA6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Aizmugurējo bremžu kluču nomaiņa (abiem riteņiem)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D8F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030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E24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1AE3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85A5271" w14:textId="7235717C" w:rsidTr="00C831EA">
        <w:trPr>
          <w:trHeight w:val="5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921E4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Riteņu savirzes vai ģeometrijas regulēšana (ar datoru izdruku)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207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452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C84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74F856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1700E09" w14:textId="10BD94DE" w:rsidTr="00C831EA">
        <w:trPr>
          <w:trHeight w:val="22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97C31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Gaisa filtra 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0DA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E10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4C9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4B0F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137A49D4" w14:textId="53059C91" w:rsidTr="00C831EA">
        <w:trPr>
          <w:trHeight w:val="25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7316E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Degvielas filtra maiņa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31B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EA6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892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54404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319E0146" w14:textId="50333A03" w:rsidTr="00C831EA">
        <w:trPr>
          <w:trHeight w:val="261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0762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Eļļas 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0B6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345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F9D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56AD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5A1259F4" w14:textId="7A20AD91" w:rsidTr="00C831EA">
        <w:trPr>
          <w:trHeight w:val="251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AA4E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Eļļas filtra 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3DF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049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FDF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F905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7B50C102" w14:textId="77777777" w:rsidTr="00C831EA">
        <w:trPr>
          <w:trHeight w:val="251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BE10" w14:textId="64096728" w:rsidR="006702C5" w:rsidRPr="0078454C" w:rsidRDefault="006702C5" w:rsidP="001348F1">
            <w:pPr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Salona filtra 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26C8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9E9F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1D0A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4FC53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09EF703" w14:textId="3441D67D" w:rsidTr="00C831EA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C255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Ģeneratora siksnas 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DE7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6B4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F8C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E54A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0B7F5F6" w14:textId="72932D76" w:rsidTr="00C831EA">
        <w:trPr>
          <w:trHeight w:val="24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6E637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Lodveida šarnīra nomaiņa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815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59F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580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4060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0315C3C" w14:textId="33A8CFB4" w:rsidTr="00C831EA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38F72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Lodveida šarnīra gumijas nomaiņa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E14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4AF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CE5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501F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5C233C01" w14:textId="0298FE7B" w:rsidTr="00C831EA">
        <w:trPr>
          <w:trHeight w:val="2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3CF8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Aizdedzes sveču vai kvēlsveču nomaiņa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C16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2E9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03B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6C8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8A14FDD" w14:textId="14BA7712" w:rsidTr="00C831EA">
        <w:trPr>
          <w:trHeight w:val="21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1E41B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Dzinēja izplūdes gāzu noteikšana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AF4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38D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C94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6AEB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641DB5B8" w14:textId="7419F075" w:rsidTr="00C831EA">
        <w:trPr>
          <w:trHeight w:val="34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904D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Priekšējo gaismas lukturu regulēšana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AA9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742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6AA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A9F0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B09F11B" w14:textId="5822D5C9" w:rsidTr="00C831EA">
        <w:trPr>
          <w:trHeight w:val="3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1511F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Dzenošās ķēdes vai zobsiksnas nomaiņa (komplektā)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071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449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07E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0537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134357FF" w14:textId="2F3FC996" w:rsidTr="00C831EA">
        <w:trPr>
          <w:trHeight w:val="288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62C3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Stūres pirksta nomaiņa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B76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6E6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BDD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55DE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7B2C8AF1" w14:textId="5D903BA9" w:rsidTr="00C831EA">
        <w:trPr>
          <w:trHeight w:val="29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939886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CO/CH pārbaude un regulēšana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F9B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9B5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A1A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  <w:r w:rsidRPr="0078454C">
              <w:rPr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4DACF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B62D3F4" w14:textId="1BF07EA2" w:rsidTr="00C831EA">
        <w:trPr>
          <w:trHeight w:val="25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DB2DC4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Termostata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BFE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B29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5B7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36C19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23B746D" w14:textId="73AE117D" w:rsidTr="00C831EA">
        <w:trPr>
          <w:trHeight w:val="2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9E472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Dzinēja dzesēšanas radiatora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DB1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D2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612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E1D73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687C88CF" w14:textId="2E0ABEC9" w:rsidTr="00C831EA">
        <w:trPr>
          <w:trHeight w:val="23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EE44F9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Apsildes radiatora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FA5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EAF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C58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46027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9321789" w14:textId="31D90963" w:rsidTr="00C831EA">
        <w:trPr>
          <w:trHeight w:val="23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952F5" w14:textId="5ACC5FEE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Degvielas sūkņa maiņa</w:t>
            </w:r>
            <w:r w:rsidR="006702C5">
              <w:rPr>
                <w:lang w:eastAsia="lv-LV"/>
              </w:rPr>
              <w:t xml:space="preserve"> un remonts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27B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7A5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3F0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49EE8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B95F44D" w14:textId="254FDF60" w:rsidTr="00C831EA">
        <w:trPr>
          <w:trHeight w:val="24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BD9F63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Sajūga komplekta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70C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7DF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9B9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3919F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B671140" w14:textId="1DA56256" w:rsidTr="00C831EA">
        <w:trPr>
          <w:trHeight w:val="24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C9F3A8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Sajūga galvenā cilindra demontāža/montāža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B0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FA9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9C1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BA35A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463395CA" w14:textId="77777777" w:rsidTr="00C831EA">
        <w:trPr>
          <w:trHeight w:val="24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C4456" w14:textId="1C4EA44B" w:rsidR="006702C5" w:rsidRPr="0078454C" w:rsidRDefault="006702C5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Sajūga galvenā cilindra</w:t>
            </w:r>
            <w:r>
              <w:rPr>
                <w:lang w:eastAsia="lv-LV"/>
              </w:rPr>
              <w:t xml:space="preserve"> remonts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66E02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7299A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E1D8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7C00B3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361C95A" w14:textId="3EA98BFB" w:rsidTr="00C831EA">
        <w:trPr>
          <w:trHeight w:val="27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0DA2BC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Stūres šarnīra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E20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4D2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B69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6BF22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11207320" w14:textId="0D349C94" w:rsidTr="00C831EA">
        <w:trPr>
          <w:trHeight w:val="22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766880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Stūres stieņa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B21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1F8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408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67A34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B980D47" w14:textId="40EF6F2C" w:rsidTr="00C831EA">
        <w:trPr>
          <w:trHeight w:val="27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D596F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Stūres mehānisma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C3C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811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BE6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88D46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FFA104A" w14:textId="6849896C" w:rsidTr="00C831EA">
        <w:trPr>
          <w:trHeight w:val="27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220AF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Stūres pastiprinātāja sūkņa/ demontāža/montāža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7C6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DA1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285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29E6C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117F716" w14:textId="2A8815E6" w:rsidTr="00C831EA">
        <w:trPr>
          <w:trHeight w:val="27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FA9A5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Augšēja lodbalsta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F2B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0CC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08C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BCE0B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05F1BF4" w14:textId="06057CE3" w:rsidTr="00C831EA">
        <w:trPr>
          <w:trHeight w:val="27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6EBD2B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Apakšējā lodbalsta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DA9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712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E73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94D0F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43DCC47" w14:textId="3721EFB9" w:rsidTr="00C831EA">
        <w:trPr>
          <w:trHeight w:val="27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C01EBA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Aizmugurējās pusass gultņa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C38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D28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7A7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F64B1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6E4ED9EF" w14:textId="77777777" w:rsidTr="00C831EA">
        <w:trPr>
          <w:trHeight w:val="27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B18E8" w14:textId="620B9C82" w:rsidR="006702C5" w:rsidRPr="0078454C" w:rsidRDefault="006702C5" w:rsidP="001348F1">
            <w:pPr>
              <w:rPr>
                <w:lang w:eastAsia="lv-LV"/>
              </w:rPr>
            </w:pPr>
            <w:r>
              <w:rPr>
                <w:lang w:eastAsia="lv-LV"/>
              </w:rPr>
              <w:t>Pusass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753E0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978D1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CA57F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45BC1F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615DA016" w14:textId="22AADA97" w:rsidTr="00C831EA">
        <w:trPr>
          <w:trHeight w:val="28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2828D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Pusass abu šarnīru putekļu sargu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555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60E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0D0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909FA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44EE033" w14:textId="3A49D0D7" w:rsidTr="00C831EA">
        <w:trPr>
          <w:trHeight w:val="27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34934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disku maiņa (priekšējo)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283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F3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19E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DD95A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5FFA34A" w14:textId="1BC327CC" w:rsidTr="00C831EA">
        <w:trPr>
          <w:trHeight w:val="26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BC9FD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disku maiņa (aizmugurējo)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B0F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086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6D7B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DA87D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6D894EE4" w14:textId="62991412" w:rsidTr="00C831EA">
        <w:trPr>
          <w:trHeight w:val="2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280CC0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suportu maiņa (aizmugurējo)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E47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697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C13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A3EAC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3283A744" w14:textId="1C71BD64" w:rsidTr="00C831EA">
        <w:trPr>
          <w:trHeight w:val="25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480F5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Stāvbremžu troses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01D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1A0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845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7B5F8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58D0E8A2" w14:textId="620D5CDE" w:rsidTr="00C831EA">
        <w:trPr>
          <w:trHeight w:val="25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B4B53D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atgaisošana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E7A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0E9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DE3F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B096C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54DB2F4E" w14:textId="529519DF" w:rsidTr="00C831EA">
        <w:trPr>
          <w:trHeight w:val="2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796F35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šļūtenes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34B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695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D0B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0E681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799D0876" w14:textId="6CBBF94B" w:rsidTr="00C831EA">
        <w:trPr>
          <w:trHeight w:val="25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299BA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cilindra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5EF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273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C2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57A24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63D80DC7" w14:textId="76F8D375" w:rsidTr="00C831EA">
        <w:trPr>
          <w:trHeight w:val="24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5A7DF9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galvenā cilindra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6A8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E2A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4B0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D517A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2E9FDB02" w14:textId="77777777" w:rsidTr="00C831EA">
        <w:trPr>
          <w:trHeight w:val="24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C3BCC" w14:textId="45A199EB" w:rsidR="006702C5" w:rsidRPr="0078454C" w:rsidRDefault="006702C5" w:rsidP="001348F1">
            <w:pPr>
              <w:rPr>
                <w:lang w:eastAsia="lv-LV"/>
              </w:rPr>
            </w:pPr>
            <w:r>
              <w:rPr>
                <w:lang w:eastAsia="lv-LV"/>
              </w:rPr>
              <w:lastRenderedPageBreak/>
              <w:t>Bremžu galvenā cilindra remonts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EBA5A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00635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B053B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E48A70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1941E8EF" w14:textId="03F96505" w:rsidTr="00C831EA">
        <w:trPr>
          <w:trHeight w:val="2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957B02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Priekšējā luktura spuldzes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F54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D6C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004B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A5344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31CC48DB" w14:textId="09D26760" w:rsidTr="00C831EA">
        <w:trPr>
          <w:trHeight w:val="25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1C855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Aizmugurējā luktura spuldzes maiņā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2CD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115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96E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D4857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E84C8DA" w14:textId="5F114441" w:rsidTr="00C831EA">
        <w:trPr>
          <w:trHeight w:val="4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13B5BB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Ģeneratora demontāža/montāža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74F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094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FC4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744E8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1E6E4E3D" w14:textId="77777777" w:rsidTr="00C831EA">
        <w:trPr>
          <w:trHeight w:val="4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F9A69" w14:textId="08BC3A74" w:rsidR="006702C5" w:rsidRPr="0078454C" w:rsidRDefault="006702C5" w:rsidP="001348F1">
            <w:pPr>
              <w:rPr>
                <w:lang w:eastAsia="lv-LV"/>
              </w:rPr>
            </w:pPr>
            <w:r>
              <w:rPr>
                <w:lang w:eastAsia="lv-LV"/>
              </w:rPr>
              <w:t>Ģeneratora remonts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390AD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21138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590D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641B0B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E32D138" w14:textId="6CF54D82" w:rsidTr="00C831EA">
        <w:trPr>
          <w:trHeight w:val="41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A137C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Kopējā datorizētā diagnostika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500A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813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4FA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AB647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8893A06" w14:textId="5F3A2D54" w:rsidTr="00C831EA">
        <w:trPr>
          <w:trHeight w:val="41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91233F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Dzinēja atgāžu pārbaude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E07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C7A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929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E9D24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EDDFF61" w14:textId="06348A58" w:rsidTr="00C831EA">
        <w:trPr>
          <w:trHeight w:val="2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83B95F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Luktura gaismas staru pārbaude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260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0DC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2AF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AC0D5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0BAC10DC" w14:textId="6B878A81" w:rsidTr="00C831EA">
        <w:trPr>
          <w:trHeight w:val="2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B136A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Bremžu detalizēta pārbaude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A7E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B71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BE1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D96BE7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BE8DEE1" w14:textId="350D4C45" w:rsidTr="00C831EA">
        <w:trPr>
          <w:trHeight w:val="23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0F8A9B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Ritošas daļas kontrolapskate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4F7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B5C5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EDC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33B44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4A60F8BA" w14:textId="0C96FC81" w:rsidTr="00C831EA">
        <w:trPr>
          <w:trHeight w:val="51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2898" w14:textId="381B21C6" w:rsidR="00222C22" w:rsidRPr="0078454C" w:rsidRDefault="00222C22" w:rsidP="006702C5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 xml:space="preserve">Riteņu savirzes un sagāzuma pārbaude un regulēšana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144D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B9F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48F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61A10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582C98DC" w14:textId="176A696D" w:rsidTr="00C831EA">
        <w:trPr>
          <w:trHeight w:val="2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D3BC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Zobsiksnas pievada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96D0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4FE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E10F1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85B27B4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2B25AFAF" w14:textId="0C0F0B92" w:rsidTr="00C831EA">
        <w:trPr>
          <w:trHeight w:val="24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0950" w14:textId="03EB7429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Ātrumkārbas maiņa</w:t>
            </w:r>
            <w:r w:rsidR="006702C5">
              <w:rPr>
                <w:lang w:eastAsia="lv-LV"/>
              </w:rPr>
              <w:t xml:space="preserve"> un remonts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1049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B2A3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1E332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83B981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222C22" w:rsidRPr="0078454C" w14:paraId="5016161D" w14:textId="614658BC" w:rsidTr="00C831EA">
        <w:trPr>
          <w:trHeight w:val="2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A117" w14:textId="77777777" w:rsidR="00222C22" w:rsidRPr="0078454C" w:rsidRDefault="00222C22" w:rsidP="001348F1">
            <w:pPr>
              <w:rPr>
                <w:lang w:eastAsia="lv-LV"/>
              </w:rPr>
            </w:pPr>
            <w:r w:rsidRPr="0078454C">
              <w:rPr>
                <w:lang w:eastAsia="lv-LV"/>
              </w:rPr>
              <w:t>Riepu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EB5E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B19DC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0D46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70ED8" w14:textId="77777777" w:rsidR="00222C22" w:rsidRPr="0078454C" w:rsidRDefault="00222C22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31FE036C" w14:textId="77777777" w:rsidTr="00C831EA">
        <w:trPr>
          <w:trHeight w:val="2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1FC6" w14:textId="78D62491" w:rsidR="006702C5" w:rsidRPr="0078454C" w:rsidRDefault="006702C5" w:rsidP="001348F1">
            <w:pPr>
              <w:rPr>
                <w:lang w:eastAsia="lv-LV"/>
              </w:rPr>
            </w:pPr>
            <w:r>
              <w:rPr>
                <w:lang w:eastAsia="lv-LV"/>
              </w:rPr>
              <w:t>Sliekšņu maiņa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A94D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4B58D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5E679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77A5D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79C8B0ED" w14:textId="77777777" w:rsidTr="00C831EA">
        <w:trPr>
          <w:trHeight w:val="2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25E4" w14:textId="23387666" w:rsidR="006702C5" w:rsidRDefault="006702C5" w:rsidP="001348F1">
            <w:pPr>
              <w:rPr>
                <w:lang w:eastAsia="lv-LV"/>
              </w:rPr>
            </w:pPr>
            <w:r>
              <w:rPr>
                <w:lang w:eastAsia="lv-LV"/>
              </w:rPr>
              <w:t>Metināšanas darbi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5992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1034A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1224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CA3E8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6702C5" w:rsidRPr="0078454C" w14:paraId="6F7272CD" w14:textId="77777777" w:rsidTr="00C831EA">
        <w:trPr>
          <w:trHeight w:val="2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0737" w14:textId="60D97235" w:rsidR="006702C5" w:rsidRPr="00990D40" w:rsidRDefault="001348F1" w:rsidP="001348F1">
            <w:pPr>
              <w:rPr>
                <w:lang w:val="ru-RU" w:eastAsia="lv-LV"/>
              </w:rPr>
            </w:pPr>
            <w:proofErr w:type="spellStart"/>
            <w:r>
              <w:rPr>
                <w:lang w:val="ru-RU" w:eastAsia="lv-LV"/>
              </w:rPr>
              <w:t>Krāsošanas</w:t>
            </w:r>
            <w:proofErr w:type="spellEnd"/>
            <w:r>
              <w:rPr>
                <w:lang w:val="ru-RU" w:eastAsia="lv-LV"/>
              </w:rPr>
              <w:t xml:space="preserve"> </w:t>
            </w:r>
            <w:proofErr w:type="spellStart"/>
            <w:r>
              <w:rPr>
                <w:lang w:val="ru-RU" w:eastAsia="lv-LV"/>
              </w:rPr>
              <w:t>darbi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6E12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97F02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A51BC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E6341" w14:textId="77777777" w:rsidR="006702C5" w:rsidRPr="0078454C" w:rsidRDefault="006702C5" w:rsidP="001348F1">
            <w:pPr>
              <w:jc w:val="center"/>
              <w:rPr>
                <w:lang w:eastAsia="lv-LV"/>
              </w:rPr>
            </w:pPr>
          </w:p>
        </w:tc>
      </w:tr>
      <w:tr w:rsidR="00C831EA" w:rsidRPr="0078454C" w14:paraId="4970E4D7" w14:textId="0991598D" w:rsidTr="00C831EA">
        <w:trPr>
          <w:trHeight w:val="296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AAA2" w14:textId="77777777" w:rsidR="00C831EA" w:rsidRDefault="00C831EA" w:rsidP="001348F1">
            <w:pPr>
              <w:jc w:val="center"/>
              <w:rPr>
                <w:lang w:eastAsia="lv-LV"/>
              </w:rPr>
            </w:pPr>
          </w:p>
          <w:p w14:paraId="7A5B2EA6" w14:textId="0F4AC657" w:rsidR="00C831EA" w:rsidRPr="00C831EA" w:rsidRDefault="00C831EA" w:rsidP="001348F1">
            <w:pPr>
              <w:jc w:val="center"/>
              <w:rPr>
                <w:b/>
                <w:lang w:eastAsia="lv-LV"/>
              </w:rPr>
            </w:pPr>
            <w:r w:rsidRPr="00C831EA">
              <w:rPr>
                <w:b/>
                <w:lang w:eastAsia="lv-LV"/>
              </w:rPr>
              <w:t>KOPĀ: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1C5A" w14:textId="77777777" w:rsidR="00C831EA" w:rsidRDefault="00C831EA">
            <w:pPr>
              <w:suppressAutoHyphens w:val="0"/>
              <w:rPr>
                <w:lang w:eastAsia="lv-LV"/>
              </w:rPr>
            </w:pPr>
          </w:p>
          <w:p w14:paraId="52386095" w14:textId="77777777" w:rsidR="00C831EA" w:rsidRPr="0078454C" w:rsidRDefault="00C831EA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4696" w14:textId="3B3743FF" w:rsidR="00C831EA" w:rsidRPr="0078454C" w:rsidRDefault="00C831EA" w:rsidP="00C831EA">
            <w:pPr>
              <w:jc w:val="center"/>
              <w:rPr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8786" w14:textId="2BE76981" w:rsidR="00C831EA" w:rsidRPr="0078454C" w:rsidRDefault="00C831EA" w:rsidP="001348F1">
            <w:pPr>
              <w:jc w:val="center"/>
              <w:rPr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52AF9" w14:textId="77777777" w:rsidR="00C831EA" w:rsidRPr="0078454C" w:rsidRDefault="00C831EA" w:rsidP="001348F1">
            <w:pPr>
              <w:jc w:val="center"/>
              <w:rPr>
                <w:lang w:eastAsia="lv-LV"/>
              </w:rPr>
            </w:pPr>
          </w:p>
        </w:tc>
      </w:tr>
      <w:tr w:rsidR="00C831EA" w:rsidRPr="0078454C" w14:paraId="1EFB3198" w14:textId="08107FEB" w:rsidTr="00C831EA">
        <w:trPr>
          <w:trHeight w:val="296"/>
        </w:trPr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47C23" w14:textId="3E02945E" w:rsidR="00C831EA" w:rsidRPr="00C831EA" w:rsidRDefault="00C831EA" w:rsidP="00CD4962">
            <w:pPr>
              <w:rPr>
                <w:b/>
                <w:lang w:eastAsia="lv-LV"/>
              </w:rPr>
            </w:pPr>
            <w:r w:rsidRPr="00C831EA">
              <w:rPr>
                <w:b/>
                <w:lang w:eastAsia="lv-LV"/>
              </w:rPr>
              <w:t>Kopē</w:t>
            </w:r>
            <w:r w:rsidR="00CD4962">
              <w:rPr>
                <w:b/>
                <w:lang w:eastAsia="lv-LV"/>
              </w:rPr>
              <w:t xml:space="preserve">jā piedāvāta cena </w:t>
            </w:r>
            <w:r w:rsidR="00CD4962" w:rsidRPr="00C831EA">
              <w:rPr>
                <w:b/>
                <w:lang w:eastAsia="lv-LV"/>
              </w:rPr>
              <w:t>EUR (bez PVN)</w:t>
            </w:r>
            <w:r w:rsidR="00CD4962">
              <w:rPr>
                <w:b/>
                <w:lang w:eastAsia="lv-LV"/>
              </w:rPr>
              <w:t xml:space="preserve">= (A+B+C+D): 2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1EA1" w14:textId="77777777" w:rsidR="00C831EA" w:rsidRPr="00C831EA" w:rsidRDefault="00C831EA" w:rsidP="00C831EA">
            <w:pPr>
              <w:rPr>
                <w:b/>
                <w:lang w:eastAsia="lv-LV"/>
              </w:rPr>
            </w:pPr>
          </w:p>
        </w:tc>
      </w:tr>
    </w:tbl>
    <w:p w14:paraId="57BC7CB3" w14:textId="77777777" w:rsidR="00222C22" w:rsidRPr="003B05A1" w:rsidRDefault="00222C22" w:rsidP="003B05A1">
      <w:pPr>
        <w:suppressAutoHyphens w:val="0"/>
        <w:jc w:val="both"/>
        <w:rPr>
          <w:bCs/>
          <w:color w:val="FF0000"/>
          <w:lang w:eastAsia="en-US"/>
        </w:rPr>
      </w:pPr>
    </w:p>
    <w:p w14:paraId="16944ECB" w14:textId="5754FA53" w:rsidR="00134228" w:rsidRDefault="00134228" w:rsidP="007F05A6">
      <w:pPr>
        <w:tabs>
          <w:tab w:val="left" w:pos="-114"/>
          <w:tab w:val="left" w:pos="-57"/>
        </w:tabs>
        <w:jc w:val="both"/>
      </w:pPr>
      <w:bookmarkStart w:id="9" w:name="_GoBack"/>
      <w:bookmarkEnd w:id="9"/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3B05A1">
            <w:pPr>
              <w:keepLines/>
              <w:widowControl w:val="0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3B05A1">
            <w:pPr>
              <w:keepLines/>
              <w:widowControl w:val="0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3B05A1">
            <w:pPr>
              <w:keepLines/>
              <w:widowControl w:val="0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3B05A1">
            <w:pPr>
              <w:keepLines/>
              <w:widowControl w:val="0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3B05A1">
            <w:pPr>
              <w:keepLines/>
              <w:widowControl w:val="0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3B05A1">
            <w:pPr>
              <w:keepLines/>
              <w:widowControl w:val="0"/>
              <w:jc w:val="both"/>
            </w:pPr>
          </w:p>
        </w:tc>
      </w:tr>
    </w:tbl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FEC8" w14:textId="77777777" w:rsidR="00CC12FB" w:rsidRDefault="00CC12FB">
      <w:r>
        <w:separator/>
      </w:r>
    </w:p>
  </w:endnote>
  <w:endnote w:type="continuationSeparator" w:id="0">
    <w:p w14:paraId="541623CD" w14:textId="77777777" w:rsidR="00CC12FB" w:rsidRDefault="00CC12FB">
      <w:r>
        <w:continuationSeparator/>
      </w:r>
    </w:p>
  </w:endnote>
  <w:endnote w:type="continuationNotice" w:id="1">
    <w:p w14:paraId="6C5B4D86" w14:textId="77777777" w:rsidR="00CC12FB" w:rsidRDefault="00CC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831EA" w:rsidRDefault="00C831E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E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9FBAF0B" w14:textId="77777777" w:rsidR="00C831EA" w:rsidRDefault="00C831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5480" w14:textId="77777777" w:rsidR="00CC12FB" w:rsidRDefault="00CC12FB">
      <w:r>
        <w:separator/>
      </w:r>
    </w:p>
  </w:footnote>
  <w:footnote w:type="continuationSeparator" w:id="0">
    <w:p w14:paraId="40EDD565" w14:textId="77777777" w:rsidR="00CC12FB" w:rsidRDefault="00CC12FB">
      <w:r>
        <w:continuationSeparator/>
      </w:r>
    </w:p>
  </w:footnote>
  <w:footnote w:type="continuationNotice" w:id="1">
    <w:p w14:paraId="16CB066D" w14:textId="77777777" w:rsidR="00CC12FB" w:rsidRDefault="00CC12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01FA5"/>
    <w:multiLevelType w:val="hybridMultilevel"/>
    <w:tmpl w:val="894C96F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4D7921"/>
    <w:multiLevelType w:val="multilevel"/>
    <w:tmpl w:val="9746CD4C"/>
    <w:lvl w:ilvl="0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3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1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8"/>
  </w:num>
  <w:num w:numId="10">
    <w:abstractNumId w:val="16"/>
  </w:num>
  <w:num w:numId="11">
    <w:abstractNumId w:val="20"/>
  </w:num>
  <w:num w:numId="12">
    <w:abstractNumId w:val="22"/>
  </w:num>
  <w:num w:numId="13">
    <w:abstractNumId w:val="30"/>
  </w:num>
  <w:num w:numId="14">
    <w:abstractNumId w:val="7"/>
  </w:num>
  <w:num w:numId="15">
    <w:abstractNumId w:val="23"/>
  </w:num>
  <w:num w:numId="16">
    <w:abstractNumId w:val="24"/>
  </w:num>
  <w:num w:numId="17">
    <w:abstractNumId w:val="13"/>
  </w:num>
  <w:num w:numId="18">
    <w:abstractNumId w:val="32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5"/>
  </w:num>
  <w:num w:numId="26">
    <w:abstractNumId w:val="27"/>
  </w:num>
  <w:num w:numId="27">
    <w:abstractNumId w:val="19"/>
  </w:num>
  <w:num w:numId="28">
    <w:abstractNumId w:val="1"/>
  </w:num>
  <w:num w:numId="29">
    <w:abstractNumId w:val="3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6289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41986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5635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16AB"/>
    <w:rsid w:val="001318D7"/>
    <w:rsid w:val="001321CE"/>
    <w:rsid w:val="001326BF"/>
    <w:rsid w:val="00132D36"/>
    <w:rsid w:val="00134228"/>
    <w:rsid w:val="001348F1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F8F"/>
    <w:rsid w:val="00172265"/>
    <w:rsid w:val="00174055"/>
    <w:rsid w:val="00180A1D"/>
    <w:rsid w:val="00184D95"/>
    <w:rsid w:val="00185B00"/>
    <w:rsid w:val="001A10DD"/>
    <w:rsid w:val="001A3B48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2C22"/>
    <w:rsid w:val="002231AF"/>
    <w:rsid w:val="00231AFC"/>
    <w:rsid w:val="00233874"/>
    <w:rsid w:val="00233E01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A6BE1"/>
    <w:rsid w:val="002B0BF4"/>
    <w:rsid w:val="002B4FA1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37FD2"/>
    <w:rsid w:val="00343336"/>
    <w:rsid w:val="0035013A"/>
    <w:rsid w:val="003509F4"/>
    <w:rsid w:val="00350D1B"/>
    <w:rsid w:val="00356D96"/>
    <w:rsid w:val="00356E54"/>
    <w:rsid w:val="00361A4C"/>
    <w:rsid w:val="00362318"/>
    <w:rsid w:val="00362974"/>
    <w:rsid w:val="00381665"/>
    <w:rsid w:val="00381D6B"/>
    <w:rsid w:val="00382268"/>
    <w:rsid w:val="00383327"/>
    <w:rsid w:val="00384FE9"/>
    <w:rsid w:val="00390CDB"/>
    <w:rsid w:val="00393C09"/>
    <w:rsid w:val="00396578"/>
    <w:rsid w:val="003A4DDD"/>
    <w:rsid w:val="003B049F"/>
    <w:rsid w:val="003B05A1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A95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1A43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2365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2B3E"/>
    <w:rsid w:val="005E4783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47371"/>
    <w:rsid w:val="00650C98"/>
    <w:rsid w:val="006561C7"/>
    <w:rsid w:val="006641A7"/>
    <w:rsid w:val="006702C5"/>
    <w:rsid w:val="00671634"/>
    <w:rsid w:val="00673006"/>
    <w:rsid w:val="00674D8D"/>
    <w:rsid w:val="00677B7D"/>
    <w:rsid w:val="00677DE3"/>
    <w:rsid w:val="00680C17"/>
    <w:rsid w:val="00682F0C"/>
    <w:rsid w:val="00687031"/>
    <w:rsid w:val="00687E74"/>
    <w:rsid w:val="00690C0A"/>
    <w:rsid w:val="00691A2E"/>
    <w:rsid w:val="00696D27"/>
    <w:rsid w:val="006973B2"/>
    <w:rsid w:val="006A1118"/>
    <w:rsid w:val="006A278F"/>
    <w:rsid w:val="006A2D3C"/>
    <w:rsid w:val="006A31B0"/>
    <w:rsid w:val="006B4080"/>
    <w:rsid w:val="006B55E0"/>
    <w:rsid w:val="006B6BCD"/>
    <w:rsid w:val="006C5523"/>
    <w:rsid w:val="006D11C8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078"/>
    <w:rsid w:val="007A057F"/>
    <w:rsid w:val="007A74FB"/>
    <w:rsid w:val="007B069B"/>
    <w:rsid w:val="007C1A6F"/>
    <w:rsid w:val="007C249D"/>
    <w:rsid w:val="007C5CD5"/>
    <w:rsid w:val="007D0ABC"/>
    <w:rsid w:val="007D2668"/>
    <w:rsid w:val="007D2C2D"/>
    <w:rsid w:val="007D35E1"/>
    <w:rsid w:val="007D5175"/>
    <w:rsid w:val="007E2E34"/>
    <w:rsid w:val="007E2F91"/>
    <w:rsid w:val="007E6A0C"/>
    <w:rsid w:val="007E6C0C"/>
    <w:rsid w:val="007E6C46"/>
    <w:rsid w:val="007E798C"/>
    <w:rsid w:val="007F05A6"/>
    <w:rsid w:val="007F3572"/>
    <w:rsid w:val="007F41E4"/>
    <w:rsid w:val="00806003"/>
    <w:rsid w:val="00807004"/>
    <w:rsid w:val="008121D4"/>
    <w:rsid w:val="008210F9"/>
    <w:rsid w:val="00823CF9"/>
    <w:rsid w:val="00824276"/>
    <w:rsid w:val="00840060"/>
    <w:rsid w:val="00842403"/>
    <w:rsid w:val="00854918"/>
    <w:rsid w:val="00854AB4"/>
    <w:rsid w:val="00864641"/>
    <w:rsid w:val="00867ACE"/>
    <w:rsid w:val="0087385C"/>
    <w:rsid w:val="008745CB"/>
    <w:rsid w:val="0087529D"/>
    <w:rsid w:val="00881E76"/>
    <w:rsid w:val="00891A3D"/>
    <w:rsid w:val="008A06D2"/>
    <w:rsid w:val="008A2411"/>
    <w:rsid w:val="008B52E4"/>
    <w:rsid w:val="008B6DB3"/>
    <w:rsid w:val="008C5E14"/>
    <w:rsid w:val="008D0E3C"/>
    <w:rsid w:val="008D221B"/>
    <w:rsid w:val="008D544E"/>
    <w:rsid w:val="008D678E"/>
    <w:rsid w:val="008D7C02"/>
    <w:rsid w:val="008E03AD"/>
    <w:rsid w:val="008E37ED"/>
    <w:rsid w:val="008F2B32"/>
    <w:rsid w:val="008F2E59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5F0D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0D40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455C4"/>
    <w:rsid w:val="00A54FD1"/>
    <w:rsid w:val="00A618F1"/>
    <w:rsid w:val="00A61CEF"/>
    <w:rsid w:val="00A62D02"/>
    <w:rsid w:val="00A644A0"/>
    <w:rsid w:val="00A67989"/>
    <w:rsid w:val="00A72734"/>
    <w:rsid w:val="00A72AEC"/>
    <w:rsid w:val="00A72D70"/>
    <w:rsid w:val="00A768E1"/>
    <w:rsid w:val="00A804CB"/>
    <w:rsid w:val="00A80669"/>
    <w:rsid w:val="00A80BC7"/>
    <w:rsid w:val="00A811AC"/>
    <w:rsid w:val="00A819D3"/>
    <w:rsid w:val="00A81AC6"/>
    <w:rsid w:val="00A832B7"/>
    <w:rsid w:val="00A8370B"/>
    <w:rsid w:val="00A84CDE"/>
    <w:rsid w:val="00A86C04"/>
    <w:rsid w:val="00A916CB"/>
    <w:rsid w:val="00A92B26"/>
    <w:rsid w:val="00A95E5B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56D9"/>
    <w:rsid w:val="00B239F8"/>
    <w:rsid w:val="00B27D94"/>
    <w:rsid w:val="00B30E5C"/>
    <w:rsid w:val="00B334B4"/>
    <w:rsid w:val="00B35763"/>
    <w:rsid w:val="00B363F0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15B"/>
    <w:rsid w:val="00BA49EA"/>
    <w:rsid w:val="00BB3760"/>
    <w:rsid w:val="00BC2EDD"/>
    <w:rsid w:val="00BC681A"/>
    <w:rsid w:val="00BC7D57"/>
    <w:rsid w:val="00BD0BC7"/>
    <w:rsid w:val="00BE09E9"/>
    <w:rsid w:val="00BE1873"/>
    <w:rsid w:val="00BE75FE"/>
    <w:rsid w:val="00C04F06"/>
    <w:rsid w:val="00C211BB"/>
    <w:rsid w:val="00C22284"/>
    <w:rsid w:val="00C22F59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831EA"/>
    <w:rsid w:val="00C83D7B"/>
    <w:rsid w:val="00C93BC3"/>
    <w:rsid w:val="00C94CBE"/>
    <w:rsid w:val="00CA12BF"/>
    <w:rsid w:val="00CA2906"/>
    <w:rsid w:val="00CA2978"/>
    <w:rsid w:val="00CA4E02"/>
    <w:rsid w:val="00CB01D3"/>
    <w:rsid w:val="00CB387D"/>
    <w:rsid w:val="00CB42CD"/>
    <w:rsid w:val="00CB4496"/>
    <w:rsid w:val="00CB7B39"/>
    <w:rsid w:val="00CC04B5"/>
    <w:rsid w:val="00CC12FB"/>
    <w:rsid w:val="00CC2BE0"/>
    <w:rsid w:val="00CC41F6"/>
    <w:rsid w:val="00CD4962"/>
    <w:rsid w:val="00CD585F"/>
    <w:rsid w:val="00CE4ACE"/>
    <w:rsid w:val="00CF00A2"/>
    <w:rsid w:val="00CF2363"/>
    <w:rsid w:val="00CF7B38"/>
    <w:rsid w:val="00D101BE"/>
    <w:rsid w:val="00D119A3"/>
    <w:rsid w:val="00D14A27"/>
    <w:rsid w:val="00D14B37"/>
    <w:rsid w:val="00D17D99"/>
    <w:rsid w:val="00D22238"/>
    <w:rsid w:val="00D2605D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1115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25AB"/>
    <w:rsid w:val="00E5445D"/>
    <w:rsid w:val="00E57FD2"/>
    <w:rsid w:val="00E65165"/>
    <w:rsid w:val="00E660E0"/>
    <w:rsid w:val="00E66BE0"/>
    <w:rsid w:val="00E70034"/>
    <w:rsid w:val="00E70FCA"/>
    <w:rsid w:val="00E74DF6"/>
    <w:rsid w:val="00E74FE3"/>
    <w:rsid w:val="00E8102F"/>
    <w:rsid w:val="00E91CBC"/>
    <w:rsid w:val="00EA0FE5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2C69"/>
    <w:rsid w:val="00EE2DDE"/>
    <w:rsid w:val="00EE360E"/>
    <w:rsid w:val="00EE4C6F"/>
    <w:rsid w:val="00EE5A9E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208A4"/>
    <w:rsid w:val="00F215A3"/>
    <w:rsid w:val="00F2169E"/>
    <w:rsid w:val="00F2302F"/>
    <w:rsid w:val="00F25751"/>
    <w:rsid w:val="00F2733D"/>
    <w:rsid w:val="00F306C0"/>
    <w:rsid w:val="00F332A9"/>
    <w:rsid w:val="00F4303C"/>
    <w:rsid w:val="00F51A0F"/>
    <w:rsid w:val="00F51B6C"/>
    <w:rsid w:val="00F52755"/>
    <w:rsid w:val="00F55FA0"/>
    <w:rsid w:val="00F60560"/>
    <w:rsid w:val="00F64814"/>
    <w:rsid w:val="00F90570"/>
    <w:rsid w:val="00F91865"/>
    <w:rsid w:val="00F960BF"/>
    <w:rsid w:val="00F966E7"/>
    <w:rsid w:val="00F972FF"/>
    <w:rsid w:val="00F97A9E"/>
    <w:rsid w:val="00FA7551"/>
    <w:rsid w:val="00FB3A8E"/>
    <w:rsid w:val="00FC108C"/>
    <w:rsid w:val="00FC70C7"/>
    <w:rsid w:val="00FD6FBD"/>
    <w:rsid w:val="00FF2749"/>
    <w:rsid w:val="00FF3027"/>
    <w:rsid w:val="00FF4796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BA7ED2-84DF-4A54-9E91-1F5E49F5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  <w:style w:type="table" w:customStyle="1" w:styleId="TableGrid">
    <w:name w:val="TableGrid"/>
    <w:rsid w:val="00222C22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990D4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90D4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90D4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90D4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90D40"/>
    <w:rPr>
      <w:rFonts w:ascii="Times New Roman" w:eastAsia="Times New Roman" w:hAnsi="Times New Roman"/>
      <w:b/>
      <w:bCs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E1F8-229A-4709-A4AF-92D24AEC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Nosaukums</vt:lpstr>
      </vt:variant>
      <vt:variant>
        <vt:i4>1</vt:i4>
      </vt:variant>
    </vt:vector>
  </HeadingPairs>
  <TitlesOfParts>
    <vt:vector size="16" baseType="lpstr">
      <vt:lpstr>APSTIPRINĀTS</vt:lpstr>
      <vt:lpstr>APSTIPRINĀTS</vt:lpstr>
      <vt:lpstr>Daugavpils pensionāru sociālās apkalpošanas teritoriālais centrs</vt:lpstr>
      <vt:lpstr>uzaicina potenciālos pretendentus piedalīties aptaujā par līguma piešķiršanas ti</vt:lpstr>
      <vt:lpstr>    Pasūtītājs: </vt:lpstr>
      <vt:lpstr>    „Daugavpils pensionāru sociālās apkalpošanas teritoriālā centra</vt:lpstr>
      <vt:lpstr>    transportlīdzekļu remonta un uzturēšanas pakalpojumu sniegšana” </vt:lpstr>
      <vt:lpstr>    „Daugavpils pensionāru sociālās apkalpošanas teritoriālā centra</vt:lpstr>
      <vt:lpstr>    transportlīdzekļu remonta un uzturēšanas pakalpojumu sniegšana” </vt:lpstr>
      <vt:lpstr>    </vt:lpstr>
      <vt:lpstr>    </vt:lpstr>
      <vt:lpstr>    3.Pielikums</vt:lpstr>
      <vt:lpstr>    „Daugavpils pensionāru sociālās apkalpošanas teritoriālā centra</vt:lpstr>
      <vt:lpstr>    transportlīdzekļu remonta un uzturēšanas pakalpojumu sniegšana” </vt:lpstr>
      <vt:lpstr>    </vt:lpstr>
      <vt:lpstr>APSTIPRINĀTS</vt:lpstr>
    </vt:vector>
  </TitlesOfParts>
  <Company>MultiDVD Team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13</cp:revision>
  <cp:lastPrinted>2017-03-21T13:30:00Z</cp:lastPrinted>
  <dcterms:created xsi:type="dcterms:W3CDTF">2017-03-21T08:09:00Z</dcterms:created>
  <dcterms:modified xsi:type="dcterms:W3CDTF">2017-03-21T13:56:00Z</dcterms:modified>
</cp:coreProperties>
</file>