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7224" w:rsidRPr="00CF1BEC" w:rsidRDefault="00767224" w:rsidP="0076722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DBJSS2017/5</w:t>
      </w:r>
      <w:r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 xml:space="preserve">                                                                                     </w:t>
      </w: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29.maijā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7224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76722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6526BA">
        <w:rPr>
          <w:rFonts w:eastAsia="Times New Roman"/>
          <w:b/>
          <w:bCs/>
          <w:lang w:eastAsia="en-US"/>
        </w:rPr>
        <w:t>cīņas</w:t>
      </w:r>
      <w:r w:rsidR="00767224">
        <w:rPr>
          <w:rFonts w:eastAsia="Times New Roman"/>
          <w:b/>
          <w:bCs/>
          <w:lang w:eastAsia="en-US"/>
        </w:rPr>
        <w:t xml:space="preserve"> nodaļām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4" w:rsidRDefault="00767224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</w:t>
            </w:r>
            <w:r w:rsidR="00DE0361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 tālr.</w:t>
            </w:r>
            <w:r>
              <w:rPr>
                <w:rFonts w:eastAsia="Times New Roman"/>
                <w:lang w:eastAsia="en-US"/>
              </w:rPr>
              <w:t>65421807, mob.26355583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767224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</w:t>
      </w:r>
      <w:r w:rsidR="00767224">
        <w:rPr>
          <w:rFonts w:eastAsia="Times New Roman"/>
          <w:bCs/>
          <w:lang w:eastAsia="en-US"/>
        </w:rPr>
        <w:t xml:space="preserve">ērnu un jaunatnes sporta skolas </w:t>
      </w:r>
      <w:r w:rsidR="006526BA">
        <w:rPr>
          <w:rFonts w:eastAsia="Times New Roman"/>
          <w:bCs/>
          <w:lang w:eastAsia="en-US"/>
        </w:rPr>
        <w:t>cīņas</w:t>
      </w:r>
      <w:r w:rsidR="00767224">
        <w:rPr>
          <w:rFonts w:eastAsia="Times New Roman"/>
          <w:bCs/>
          <w:lang w:eastAsia="en-US"/>
        </w:rPr>
        <w:t xml:space="preserve"> nodaļām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67224">
        <w:rPr>
          <w:rFonts w:eastAsia="Times New Roman"/>
          <w:bCs/>
          <w:lang w:eastAsia="en-US"/>
        </w:rPr>
        <w:t>33</w:t>
      </w:r>
      <w:r w:rsidR="006526BA">
        <w:rPr>
          <w:rFonts w:eastAsia="Times New Roman"/>
          <w:bCs/>
          <w:lang w:eastAsia="en-US"/>
        </w:rPr>
        <w:t>50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767224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767224">
        <w:rPr>
          <w:rFonts w:eastAsia="Times New Roman"/>
          <w:bCs/>
          <w:lang w:eastAsia="en-US"/>
        </w:rPr>
        <w:t>31</w:t>
      </w:r>
      <w:r w:rsidR="004D24FD" w:rsidRPr="00EA5AA3">
        <w:rPr>
          <w:rFonts w:eastAsia="Times New Roman"/>
          <w:bCs/>
          <w:lang w:eastAsia="en-US"/>
        </w:rPr>
        <w:t>.</w:t>
      </w:r>
      <w:r w:rsidR="00767224">
        <w:rPr>
          <w:rFonts w:eastAsia="Times New Roman"/>
          <w:bCs/>
          <w:lang w:eastAsia="en-US"/>
        </w:rPr>
        <w:t>jūlijs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6526BA">
        <w:rPr>
          <w:rFonts w:eastAsia="Times New Roman"/>
          <w:b/>
          <w:bCs/>
          <w:lang w:eastAsia="en-US"/>
        </w:rPr>
        <w:t>4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6526BA">
        <w:rPr>
          <w:rFonts w:eastAsia="Times New Roman"/>
          <w:b/>
          <w:bCs/>
          <w:lang w:eastAsia="en-US"/>
        </w:rPr>
        <w:t>aprīlim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lastRenderedPageBreak/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A21270">
        <w:t>c</w:t>
      </w:r>
      <w:r w:rsidR="006526BA">
        <w:t>īņas</w:t>
      </w:r>
      <w:r w:rsidR="000B191D">
        <w:t xml:space="preserve"> </w:t>
      </w:r>
      <w:r w:rsidR="00A21270">
        <w:t>nodaļām</w:t>
      </w:r>
      <w:r w:rsidR="00334204">
        <w:t>;</w:t>
      </w:r>
    </w:p>
    <w:p w:rsidR="00A21270" w:rsidRDefault="00D94404" w:rsidP="000B191D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A21270">
        <w:rPr>
          <w:rFonts w:eastAsia="Times New Roman"/>
          <w:bCs/>
          <w:lang w:eastAsia="en-US"/>
        </w:rPr>
        <w:t>2017</w:t>
      </w:r>
      <w:r w:rsidR="00A21270" w:rsidRPr="00EA5AA3">
        <w:rPr>
          <w:rFonts w:eastAsia="Times New Roman"/>
          <w:bCs/>
          <w:lang w:eastAsia="en-US"/>
        </w:rPr>
        <w:t xml:space="preserve">.gada </w:t>
      </w:r>
      <w:r w:rsidR="00A21270">
        <w:rPr>
          <w:rFonts w:eastAsia="Times New Roman"/>
          <w:bCs/>
          <w:lang w:eastAsia="en-US"/>
        </w:rPr>
        <w:t>31</w:t>
      </w:r>
      <w:r w:rsidR="00A21270" w:rsidRPr="00EA5AA3">
        <w:rPr>
          <w:rFonts w:eastAsia="Times New Roman"/>
          <w:bCs/>
          <w:lang w:eastAsia="en-US"/>
        </w:rPr>
        <w:t>.</w:t>
      </w:r>
      <w:r w:rsidR="00A21270">
        <w:rPr>
          <w:rFonts w:eastAsia="Times New Roman"/>
          <w:bCs/>
          <w:lang w:eastAsia="en-US"/>
        </w:rPr>
        <w:t>jūlij</w:t>
      </w:r>
      <w:r w:rsidR="00A21270">
        <w:rPr>
          <w:rFonts w:eastAsia="Times New Roman"/>
          <w:bCs/>
          <w:lang w:eastAsia="en-US"/>
        </w:rPr>
        <w:t>s</w:t>
      </w:r>
      <w:r w:rsidR="00A21270" w:rsidRPr="00D94404">
        <w:rPr>
          <w:b/>
        </w:rPr>
        <w:t xml:space="preserve"> 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1538"/>
        <w:gridCol w:w="6756"/>
        <w:gridCol w:w="1441"/>
      </w:tblGrid>
      <w:tr w:rsidR="000B191D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31D90" w:rsidP="00031D90">
            <w:pPr>
              <w:spacing w:before="2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2127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Default="00A2127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  <w:p w:rsidR="00A21270" w:rsidRPr="000B191D" w:rsidRDefault="00A2127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70" w:rsidRDefault="00A2127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56223" w:rsidRDefault="00056223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no 33 – 47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  <w:p w:rsidR="00A21270" w:rsidRPr="000B191D" w:rsidRDefault="00A2127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05622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</w:tr>
      <w:tr w:rsidR="00A21270" w:rsidRPr="000B191D" w:rsidTr="00031D90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A21270" w:rsidRDefault="00056223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0B191D" w:rsidRDefault="00A2127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bērnu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Wrestling Pack. 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A21270" w:rsidRPr="000B191D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270" w:rsidRDefault="00031D9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29</w:t>
            </w:r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komplekti</w:t>
            </w:r>
            <w:proofErr w:type="spellEnd"/>
          </w:p>
          <w:p w:rsidR="00A21270" w:rsidRPr="000B191D" w:rsidRDefault="00031D9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(29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 un 29</w:t>
            </w:r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zili</w:t>
            </w:r>
            <w:proofErr w:type="spellEnd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A21270">
        <w:t>metodiķe</w:t>
      </w:r>
      <w:r>
        <w:t xml:space="preserve">                                                         </w:t>
      </w:r>
      <w:proofErr w:type="spellStart"/>
      <w:r w:rsidR="00A21270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A21270" w:rsidRDefault="00A21270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031D90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56223" w:rsidRDefault="00056223" w:rsidP="00031D9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A212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056223" w:rsidRPr="00CF1BEC" w:rsidRDefault="00056223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031D90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451A1F">
        <w:t>cīņas</w:t>
      </w:r>
      <w:r w:rsidR="00031D90">
        <w:t xml:space="preserve"> nodaļām</w:t>
      </w:r>
    </w:p>
    <w:p w:rsidR="00056223" w:rsidRDefault="00056223" w:rsidP="00031D90">
      <w:pPr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64"/>
        <w:gridCol w:w="5253"/>
        <w:gridCol w:w="1535"/>
        <w:gridCol w:w="1276"/>
      </w:tblGrid>
      <w:tr w:rsidR="00451A1F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031D90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D9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Pr="000B191D" w:rsidRDefault="00031D90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: no 33 – 47 </w:t>
            </w:r>
            <w:proofErr w:type="spellStart"/>
            <w:proofErr w:type="gram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  <w:p w:rsidR="00031D90" w:rsidRPr="000B191D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Pr="000B191D" w:rsidRDefault="00031D90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05622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D90" w:rsidRPr="000B191D" w:rsidRDefault="00031D90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D90" w:rsidRPr="000B191D" w:rsidTr="00031D90">
        <w:trPr>
          <w:trHeight w:val="17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D90" w:rsidRPr="00A21270" w:rsidRDefault="00056223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bērnu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Wrestling Pack. </w:t>
            </w:r>
          </w:p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031D90" w:rsidRPr="000B191D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90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komplekti</w:t>
            </w:r>
            <w:proofErr w:type="spellEnd"/>
          </w:p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(29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un 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1D90" w:rsidRDefault="00031D90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451A1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056223" w:rsidRDefault="00056223" w:rsidP="00BB6F93"/>
    <w:p w:rsidR="00056223" w:rsidRDefault="00056223" w:rsidP="00BB6F93"/>
    <w:p w:rsidR="00056223" w:rsidRDefault="00056223" w:rsidP="00BB6F93"/>
    <w:p w:rsidR="00056223" w:rsidRDefault="00056223" w:rsidP="00BB6F93"/>
    <w:p w:rsidR="00BB6F93" w:rsidRDefault="00BB6F93" w:rsidP="00BB6F93">
      <w:bookmarkStart w:id="2" w:name="_GoBack"/>
      <w:bookmarkEnd w:id="2"/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F" w:rsidRDefault="0036076F" w:rsidP="00B46840">
      <w:r>
        <w:separator/>
      </w:r>
    </w:p>
  </w:endnote>
  <w:endnote w:type="continuationSeparator" w:id="0">
    <w:p w:rsidR="0036076F" w:rsidRDefault="0036076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F" w:rsidRDefault="0036076F" w:rsidP="00B46840">
      <w:r>
        <w:separator/>
      </w:r>
    </w:p>
  </w:footnote>
  <w:footnote w:type="continuationSeparator" w:id="0">
    <w:p w:rsidR="0036076F" w:rsidRDefault="0036076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D90"/>
    <w:rsid w:val="00056223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076F"/>
    <w:rsid w:val="00371F4F"/>
    <w:rsid w:val="003B48A9"/>
    <w:rsid w:val="003D2D91"/>
    <w:rsid w:val="003E1B46"/>
    <w:rsid w:val="00451A1F"/>
    <w:rsid w:val="0049759F"/>
    <w:rsid w:val="004A325E"/>
    <w:rsid w:val="004C2D2D"/>
    <w:rsid w:val="004D24FD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27C3B"/>
    <w:rsid w:val="00763752"/>
    <w:rsid w:val="00767224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1270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50DEA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DE4F-9896-4585-8CB5-1398B8E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8</cp:revision>
  <cp:lastPrinted>2016-03-30T11:08:00Z</cp:lastPrinted>
  <dcterms:created xsi:type="dcterms:W3CDTF">2016-03-16T09:11:00Z</dcterms:created>
  <dcterms:modified xsi:type="dcterms:W3CDTF">2017-05-29T13:16:00Z</dcterms:modified>
</cp:coreProperties>
</file>