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F138A4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2017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277922">
        <w:rPr>
          <w:rFonts w:eastAsia="Times New Roman"/>
          <w:bCs/>
          <w:lang w:eastAsia="ar-SA"/>
        </w:rPr>
        <w:t>2</w:t>
      </w:r>
      <w:r w:rsidR="004D24FD">
        <w:rPr>
          <w:rFonts w:eastAsia="Times New Roman"/>
          <w:bCs/>
          <w:lang w:eastAsia="ar-SA"/>
        </w:rPr>
        <w:t>.</w:t>
      </w:r>
      <w:r w:rsidR="00277922">
        <w:rPr>
          <w:rFonts w:eastAsia="Times New Roman"/>
          <w:bCs/>
          <w:lang w:eastAsia="ar-SA"/>
        </w:rPr>
        <w:t>maijā</w:t>
      </w:r>
    </w:p>
    <w:p w:rsidR="00F138A4" w:rsidRPr="00CF1BEC" w:rsidRDefault="007C58CD" w:rsidP="00F138A4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DBJSS2017/50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F138A4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277922">
        <w:rPr>
          <w:rFonts w:eastAsia="Times New Roman"/>
          <w:b/>
          <w:bCs/>
          <w:lang w:eastAsia="en-US"/>
        </w:rPr>
        <w:t>b</w:t>
      </w:r>
      <w:r w:rsidR="007C58CD">
        <w:rPr>
          <w:rFonts w:eastAsia="Times New Roman"/>
          <w:b/>
          <w:bCs/>
          <w:lang w:eastAsia="en-US"/>
        </w:rPr>
        <w:t>oks</w:t>
      </w:r>
      <w:r w:rsidR="00277922">
        <w:rPr>
          <w:rFonts w:eastAsia="Times New Roman"/>
          <w:b/>
          <w:bCs/>
          <w:lang w:eastAsia="en-US"/>
        </w:rPr>
        <w:t>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2" w:rsidRDefault="007C58CD" w:rsidP="0027792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</w:t>
            </w:r>
            <w:r w:rsidR="00711868">
              <w:rPr>
                <w:rFonts w:eastAsia="Times New Roman"/>
                <w:lang w:eastAsia="en-US"/>
              </w:rPr>
              <w:t xml:space="preserve"> nodaļas </w:t>
            </w:r>
            <w:r w:rsidR="006378CD">
              <w:rPr>
                <w:rFonts w:eastAsia="Times New Roman"/>
                <w:lang w:eastAsia="en-US"/>
              </w:rPr>
              <w:t>trener</w:t>
            </w:r>
            <w:r w:rsidR="00277922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Vladislavs </w:t>
            </w:r>
            <w:proofErr w:type="spellStart"/>
            <w:r>
              <w:rPr>
                <w:rFonts w:eastAsia="Times New Roman"/>
                <w:lang w:eastAsia="en-US"/>
              </w:rPr>
              <w:t>Sokolovs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711868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6777106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27792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6378CD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711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277922">
        <w:rPr>
          <w:rFonts w:eastAsia="Times New Roman"/>
          <w:bCs/>
          <w:lang w:eastAsia="en-US"/>
        </w:rPr>
        <w:t>b</w:t>
      </w:r>
      <w:r w:rsidR="007C58CD">
        <w:rPr>
          <w:rFonts w:eastAsia="Times New Roman"/>
          <w:bCs/>
          <w:lang w:eastAsia="en-US"/>
        </w:rPr>
        <w:t>oks</w:t>
      </w:r>
      <w:r w:rsidR="00277922">
        <w:rPr>
          <w:rFonts w:eastAsia="Times New Roman"/>
          <w:bCs/>
          <w:lang w:eastAsia="en-US"/>
        </w:rPr>
        <w:t>a</w:t>
      </w:r>
      <w:r w:rsidR="006378CD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7C58CD">
        <w:rPr>
          <w:rFonts w:eastAsia="Times New Roman"/>
          <w:bCs/>
          <w:lang w:eastAsia="en-US"/>
        </w:rPr>
        <w:t>580</w:t>
      </w:r>
      <w:r w:rsidR="0070155E" w:rsidRPr="001139EE">
        <w:rPr>
          <w:rFonts w:eastAsia="Times New Roman"/>
          <w:bCs/>
          <w:lang w:eastAsia="en-US"/>
        </w:rPr>
        <w:t>.00</w:t>
      </w:r>
      <w:r w:rsidR="00B5550B" w:rsidRPr="001139EE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F138A4">
        <w:rPr>
          <w:rFonts w:eastAsia="Times New Roman"/>
          <w:bCs/>
          <w:lang w:eastAsia="en-US"/>
        </w:rPr>
        <w:t>2017</w:t>
      </w:r>
      <w:r w:rsidR="00B86D8D">
        <w:rPr>
          <w:rFonts w:eastAsia="Times New Roman"/>
          <w:bCs/>
          <w:lang w:eastAsia="en-US"/>
        </w:rPr>
        <w:t xml:space="preserve">.gada </w:t>
      </w:r>
      <w:r w:rsidR="009E4957">
        <w:rPr>
          <w:rFonts w:eastAsia="Times New Roman"/>
          <w:bCs/>
          <w:lang w:eastAsia="en-US"/>
        </w:rPr>
        <w:t>2</w:t>
      </w:r>
      <w:r w:rsidR="00F138A4">
        <w:rPr>
          <w:rFonts w:eastAsia="Times New Roman"/>
          <w:bCs/>
          <w:lang w:eastAsia="en-US"/>
        </w:rPr>
        <w:t>0</w:t>
      </w:r>
      <w:r w:rsidR="004D24FD">
        <w:rPr>
          <w:rFonts w:eastAsia="Times New Roman"/>
          <w:bCs/>
          <w:lang w:eastAsia="en-US"/>
        </w:rPr>
        <w:t>.</w:t>
      </w:r>
      <w:r w:rsidR="006378CD">
        <w:rPr>
          <w:rFonts w:eastAsia="Times New Roman"/>
          <w:bCs/>
          <w:lang w:eastAsia="en-US"/>
        </w:rPr>
        <w:t>maijs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F138A4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9E4957">
        <w:rPr>
          <w:rFonts w:eastAsia="Times New Roman"/>
          <w:b/>
          <w:bCs/>
          <w:lang w:eastAsia="en-US"/>
        </w:rPr>
        <w:t>8</w:t>
      </w:r>
      <w:r w:rsidR="004D24FD">
        <w:rPr>
          <w:rFonts w:eastAsia="Times New Roman"/>
          <w:b/>
          <w:bCs/>
          <w:lang w:eastAsia="en-US"/>
        </w:rPr>
        <w:t>.</w:t>
      </w:r>
      <w:r w:rsidR="00F138A4">
        <w:rPr>
          <w:rFonts w:eastAsia="Times New Roman"/>
          <w:b/>
          <w:bCs/>
          <w:lang w:eastAsia="en-US"/>
        </w:rPr>
        <w:t>m</w:t>
      </w:r>
      <w:r w:rsidR="009E4957">
        <w:rPr>
          <w:rFonts w:eastAsia="Times New Roman"/>
          <w:b/>
          <w:bCs/>
          <w:lang w:eastAsia="en-US"/>
        </w:rPr>
        <w:t>aijam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4D24FD">
        <w:rPr>
          <w:rFonts w:eastAsia="Times New Roman"/>
          <w:b/>
          <w:bCs/>
          <w:lang w:eastAsia="en-US"/>
        </w:rPr>
        <w:t>1</w:t>
      </w:r>
      <w:r w:rsidR="009E4957">
        <w:rPr>
          <w:rFonts w:eastAsia="Times New Roman"/>
          <w:b/>
          <w:bCs/>
          <w:lang w:eastAsia="en-US"/>
        </w:rPr>
        <w:t>2</w:t>
      </w:r>
      <w:r w:rsidR="004D24FD">
        <w:rPr>
          <w:rFonts w:eastAsia="Times New Roman"/>
          <w:b/>
          <w:bCs/>
          <w:lang w:eastAsia="en-US"/>
        </w:rPr>
        <w:t>.00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9E4957">
        <w:t>b</w:t>
      </w:r>
      <w:r w:rsidR="007C58CD">
        <w:t>oks</w:t>
      </w:r>
      <w:r w:rsidR="009E4957">
        <w:t>a</w:t>
      </w:r>
      <w:r w:rsidR="00334204">
        <w:t xml:space="preserve"> nodaļai;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F138A4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9E4957">
        <w:rPr>
          <w:rFonts w:eastAsia="Times New Roman"/>
          <w:bCs/>
          <w:color w:val="000000"/>
          <w:lang w:eastAsia="en-GB"/>
        </w:rPr>
        <w:t>2</w:t>
      </w:r>
      <w:r w:rsidR="00F138A4">
        <w:rPr>
          <w:rFonts w:eastAsia="Times New Roman"/>
          <w:bCs/>
          <w:color w:val="000000"/>
          <w:lang w:eastAsia="en-GB"/>
        </w:rPr>
        <w:t>0</w:t>
      </w:r>
      <w:r w:rsidR="004D24FD">
        <w:rPr>
          <w:rFonts w:eastAsia="Times New Roman"/>
          <w:bCs/>
          <w:color w:val="000000"/>
          <w:lang w:eastAsia="en-GB"/>
        </w:rPr>
        <w:t>.</w:t>
      </w:r>
      <w:r w:rsidR="006378CD">
        <w:rPr>
          <w:rFonts w:eastAsia="Times New Roman"/>
          <w:bCs/>
          <w:color w:val="000000"/>
          <w:lang w:eastAsia="en-GB"/>
        </w:rPr>
        <w:t>maijs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8" w:type="dxa"/>
        <w:tblLayout w:type="fixed"/>
        <w:tblLook w:val="04A0" w:firstRow="1" w:lastRow="0" w:firstColumn="1" w:lastColumn="0" w:noHBand="0" w:noVBand="1"/>
      </w:tblPr>
      <w:tblGrid>
        <w:gridCol w:w="860"/>
        <w:gridCol w:w="1658"/>
        <w:gridCol w:w="6184"/>
        <w:gridCol w:w="1266"/>
      </w:tblGrid>
      <w:tr w:rsidR="00C0019B" w:rsidTr="00C0019B">
        <w:trPr>
          <w:trHeight w:val="491"/>
        </w:trPr>
        <w:tc>
          <w:tcPr>
            <w:tcW w:w="860" w:type="dxa"/>
            <w:shd w:val="clear" w:color="auto" w:fill="FFFFFF" w:themeFill="background1"/>
          </w:tcPr>
          <w:p w:rsidR="00F138A4" w:rsidRPr="00CE7F4E" w:rsidRDefault="00F138A4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8" w:type="dxa"/>
            <w:shd w:val="clear" w:color="auto" w:fill="FFFFFF" w:themeFill="background1"/>
          </w:tcPr>
          <w:p w:rsidR="00F138A4" w:rsidRPr="00CE7F4E" w:rsidRDefault="00F138A4" w:rsidP="00F138A4">
            <w:pPr>
              <w:jc w:val="center"/>
              <w:rPr>
                <w:b/>
              </w:rPr>
            </w:pPr>
            <w:r w:rsidRPr="00CE7F4E">
              <w:rPr>
                <w:b/>
              </w:rPr>
              <w:t xml:space="preserve">Preces </w:t>
            </w:r>
            <w:r>
              <w:rPr>
                <w:b/>
              </w:rPr>
              <w:t>n</w:t>
            </w:r>
            <w:r w:rsidRPr="00CE7F4E">
              <w:rPr>
                <w:b/>
              </w:rPr>
              <w:t>osaukums</w:t>
            </w:r>
          </w:p>
        </w:tc>
        <w:tc>
          <w:tcPr>
            <w:tcW w:w="6184" w:type="dxa"/>
            <w:shd w:val="clear" w:color="auto" w:fill="FFFFFF" w:themeFill="background1"/>
          </w:tcPr>
          <w:p w:rsidR="00F138A4" w:rsidRPr="00CE7F4E" w:rsidRDefault="00F138A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266" w:type="dxa"/>
            <w:shd w:val="clear" w:color="auto" w:fill="FFFFFF" w:themeFill="background1"/>
          </w:tcPr>
          <w:p w:rsidR="00F138A4" w:rsidRDefault="00F138A4" w:rsidP="00F138A4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C0019B" w:rsidTr="00C0019B">
        <w:tc>
          <w:tcPr>
            <w:tcW w:w="860" w:type="dxa"/>
            <w:shd w:val="clear" w:color="auto" w:fill="auto"/>
          </w:tcPr>
          <w:p w:rsidR="00F138A4" w:rsidRPr="00CE7F4E" w:rsidRDefault="00F138A4" w:rsidP="00711868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658" w:type="dxa"/>
            <w:shd w:val="clear" w:color="auto" w:fill="auto"/>
          </w:tcPr>
          <w:p w:rsidR="00F138A4" w:rsidRPr="009E4957" w:rsidRDefault="007C58CD" w:rsidP="009E4957">
            <w:pPr>
              <w:jc w:val="center"/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sacensībā</w:t>
            </w:r>
            <w:r>
              <w:rPr>
                <w:rFonts w:eastAsia="Times New Roman"/>
                <w:color w:val="000000"/>
                <w:lang w:val="en-US" w:eastAsia="en-US"/>
              </w:rPr>
              <w:t>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: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šorti</w:t>
            </w:r>
            <w:proofErr w:type="spellEnd"/>
          </w:p>
        </w:tc>
        <w:tc>
          <w:tcPr>
            <w:tcW w:w="6184" w:type="dxa"/>
            <w:shd w:val="clear" w:color="auto" w:fill="auto"/>
          </w:tcPr>
          <w:p w:rsidR="00C0019B" w:rsidRDefault="00C0019B" w:rsidP="00C0019B">
            <w:r>
              <w:t>Pēc AIBA un LBF</w:t>
            </w:r>
          </w:p>
          <w:p w:rsidR="00F138A4" w:rsidRDefault="00C0019B" w:rsidP="00C0019B">
            <w:r>
              <w:t>(AIBA-Starptautiskā Amatieru boksa asociācija), (LBF-Latvijas Boksa federācija)</w:t>
            </w:r>
          </w:p>
          <w:p w:rsidR="00C0019B" w:rsidRDefault="00C0019B" w:rsidP="00C0019B">
            <w:r>
              <w:t>Sarkanas</w:t>
            </w:r>
          </w:p>
          <w:p w:rsidR="00C0019B" w:rsidRDefault="00C0019B" w:rsidP="00C0019B">
            <w:r>
              <w:t>Zilas</w:t>
            </w:r>
          </w:p>
          <w:p w:rsidR="00C0019B" w:rsidRDefault="00C0019B" w:rsidP="00C0019B">
            <w:hyperlink r:id="rId12" w:history="1">
              <w:r w:rsidRPr="002B22D2">
                <w:rPr>
                  <w:rStyle w:val="Hyperlink"/>
                </w:rPr>
                <w:t>http://d152tffy3gbaeg.cloudfront.net/2015/02/AIBA_AOB_RULES_2016-12-28_0.pdf</w:t>
              </w:r>
            </w:hyperlink>
          </w:p>
          <w:p w:rsidR="00C0019B" w:rsidRDefault="00C0019B" w:rsidP="00C0019B"/>
          <w:p w:rsidR="00C0019B" w:rsidRDefault="00C0019B" w:rsidP="00C0019B">
            <w:hyperlink r:id="rId13" w:history="1">
              <w:r w:rsidRPr="002B22D2">
                <w:rPr>
                  <w:rStyle w:val="Hyperlink"/>
                </w:rPr>
                <w:t>http://www.latboxing.lv/lbf/dokumenti/item/170-aiba-rules-28-12-2016</w:t>
              </w:r>
            </w:hyperlink>
          </w:p>
          <w:p w:rsidR="00C0019B" w:rsidRDefault="00C0019B" w:rsidP="00C0019B"/>
        </w:tc>
        <w:tc>
          <w:tcPr>
            <w:tcW w:w="1266" w:type="dxa"/>
            <w:shd w:val="clear" w:color="auto" w:fill="auto"/>
          </w:tcPr>
          <w:p w:rsidR="00C0019B" w:rsidRDefault="00C0019B" w:rsidP="009E4957">
            <w:pPr>
              <w:jc w:val="center"/>
            </w:pPr>
          </w:p>
          <w:p w:rsidR="00C0019B" w:rsidRDefault="00C0019B" w:rsidP="009E4957">
            <w:pPr>
              <w:jc w:val="center"/>
            </w:pPr>
          </w:p>
          <w:p w:rsidR="00C0019B" w:rsidRDefault="00C0019B" w:rsidP="009E4957">
            <w:pPr>
              <w:jc w:val="center"/>
            </w:pPr>
          </w:p>
          <w:p w:rsidR="00F138A4" w:rsidRDefault="00C0019B" w:rsidP="009E4957">
            <w:pPr>
              <w:jc w:val="center"/>
            </w:pPr>
            <w:r>
              <w:t>2</w:t>
            </w:r>
            <w:r w:rsidR="00F138A4">
              <w:t xml:space="preserve"> gab.</w:t>
            </w:r>
          </w:p>
          <w:p w:rsidR="00C0019B" w:rsidRDefault="00C0019B" w:rsidP="009E4957">
            <w:pPr>
              <w:jc w:val="center"/>
            </w:pPr>
            <w:r>
              <w:t>2 gab.</w:t>
            </w:r>
          </w:p>
        </w:tc>
      </w:tr>
      <w:tr w:rsidR="00C0019B" w:rsidTr="00C0019B">
        <w:tc>
          <w:tcPr>
            <w:tcW w:w="860" w:type="dxa"/>
            <w:shd w:val="clear" w:color="auto" w:fill="auto"/>
          </w:tcPr>
          <w:p w:rsidR="00C0019B" w:rsidRPr="00CE7F4E" w:rsidRDefault="00C0019B" w:rsidP="0071186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58" w:type="dxa"/>
            <w:shd w:val="clear" w:color="auto" w:fill="auto"/>
          </w:tcPr>
          <w:p w:rsidR="00C0019B" w:rsidRPr="009E4957" w:rsidRDefault="00C0019B" w:rsidP="001807AD">
            <w:pPr>
              <w:jc w:val="center"/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sacensībā</w:t>
            </w:r>
            <w:r>
              <w:rPr>
                <w:rFonts w:eastAsia="Times New Roman"/>
                <w:color w:val="000000"/>
                <w:lang w:val="en-US" w:eastAsia="en-US"/>
              </w:rPr>
              <w:t>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: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krekli</w:t>
            </w:r>
            <w:proofErr w:type="spellEnd"/>
          </w:p>
        </w:tc>
        <w:tc>
          <w:tcPr>
            <w:tcW w:w="6184" w:type="dxa"/>
            <w:shd w:val="clear" w:color="auto" w:fill="auto"/>
          </w:tcPr>
          <w:p w:rsidR="00C0019B" w:rsidRDefault="00C0019B" w:rsidP="001807AD">
            <w:r>
              <w:t>Pēc AIBA un LBF</w:t>
            </w:r>
          </w:p>
          <w:p w:rsidR="00C0019B" w:rsidRDefault="00C0019B" w:rsidP="001807AD">
            <w:r>
              <w:t>(AIBA-Starptautiskā Amatieru boksa asociācija), (LBF-Latvijas Boksa federācija)</w:t>
            </w:r>
          </w:p>
          <w:p w:rsidR="00C0019B" w:rsidRDefault="00C0019B" w:rsidP="001807AD">
            <w:r>
              <w:t>Sarkanas</w:t>
            </w:r>
          </w:p>
          <w:p w:rsidR="00C0019B" w:rsidRDefault="00C0019B" w:rsidP="001807AD">
            <w:r>
              <w:t>Zilas</w:t>
            </w:r>
          </w:p>
          <w:p w:rsidR="00C0019B" w:rsidRDefault="00C0019B" w:rsidP="001807AD">
            <w:hyperlink r:id="rId14" w:history="1">
              <w:r w:rsidRPr="002B22D2">
                <w:rPr>
                  <w:rStyle w:val="Hyperlink"/>
                </w:rPr>
                <w:t>http://d152tffy3gbaeg.cloudfront.net/2015/02/AIBA_AOB_RULES_2016-12-28_0.pdf</w:t>
              </w:r>
            </w:hyperlink>
          </w:p>
          <w:p w:rsidR="00C0019B" w:rsidRDefault="00C0019B" w:rsidP="001807AD"/>
          <w:p w:rsidR="00C0019B" w:rsidRDefault="00C0019B" w:rsidP="001807AD">
            <w:hyperlink r:id="rId15" w:history="1">
              <w:r w:rsidRPr="002B22D2">
                <w:rPr>
                  <w:rStyle w:val="Hyperlink"/>
                </w:rPr>
                <w:t>http://www.latboxing.lv/lbf/dokumenti/item/170-aiba-rules-28-12-2016</w:t>
              </w:r>
            </w:hyperlink>
          </w:p>
          <w:p w:rsidR="00C0019B" w:rsidRDefault="00C0019B" w:rsidP="001807AD"/>
        </w:tc>
        <w:tc>
          <w:tcPr>
            <w:tcW w:w="1266" w:type="dxa"/>
            <w:shd w:val="clear" w:color="auto" w:fill="auto"/>
          </w:tcPr>
          <w:p w:rsidR="00C0019B" w:rsidRDefault="00C0019B" w:rsidP="001807AD">
            <w:pPr>
              <w:jc w:val="center"/>
            </w:pPr>
          </w:p>
          <w:p w:rsidR="00C0019B" w:rsidRDefault="00C0019B" w:rsidP="001807AD">
            <w:pPr>
              <w:jc w:val="center"/>
            </w:pPr>
          </w:p>
          <w:p w:rsidR="00C0019B" w:rsidRDefault="00C0019B" w:rsidP="001807AD">
            <w:pPr>
              <w:jc w:val="center"/>
            </w:pPr>
          </w:p>
          <w:p w:rsidR="00C0019B" w:rsidRDefault="00C0019B" w:rsidP="001807AD">
            <w:pPr>
              <w:jc w:val="center"/>
            </w:pPr>
            <w:r>
              <w:t>2 gab.</w:t>
            </w:r>
          </w:p>
          <w:p w:rsidR="00C0019B" w:rsidRDefault="00C0019B" w:rsidP="001807AD">
            <w:pPr>
              <w:jc w:val="center"/>
            </w:pPr>
            <w:r>
              <w:t>2 gab.</w:t>
            </w:r>
          </w:p>
        </w:tc>
      </w:tr>
      <w:tr w:rsidR="00C0019B" w:rsidTr="00C0019B">
        <w:tc>
          <w:tcPr>
            <w:tcW w:w="860" w:type="dxa"/>
            <w:shd w:val="clear" w:color="auto" w:fill="auto"/>
          </w:tcPr>
          <w:p w:rsidR="00C0019B" w:rsidRPr="00CE7F4E" w:rsidRDefault="00C0019B" w:rsidP="007118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58" w:type="dxa"/>
            <w:shd w:val="clear" w:color="auto" w:fill="auto"/>
          </w:tcPr>
          <w:p w:rsidR="00C0019B" w:rsidRPr="009E4957" w:rsidRDefault="00C0019B" w:rsidP="009E4957">
            <w:pPr>
              <w:jc w:val="center"/>
            </w:pPr>
            <w:r>
              <w:t>Boksa bandāžas</w:t>
            </w:r>
          </w:p>
        </w:tc>
        <w:tc>
          <w:tcPr>
            <w:tcW w:w="6184" w:type="dxa"/>
            <w:shd w:val="clear" w:color="auto" w:fill="auto"/>
          </w:tcPr>
          <w:p w:rsidR="00C0019B" w:rsidRDefault="00C0019B" w:rsidP="005615BE">
            <w:r>
              <w:t>Materiāls: 60% poliesters, 40% kokvilna</w:t>
            </w:r>
          </w:p>
          <w:p w:rsidR="00C0019B" w:rsidRPr="009E4957" w:rsidRDefault="00C0019B" w:rsidP="005615BE">
            <w:r>
              <w:t>Baltais vai melns</w:t>
            </w:r>
          </w:p>
        </w:tc>
        <w:tc>
          <w:tcPr>
            <w:tcW w:w="1266" w:type="dxa"/>
            <w:shd w:val="clear" w:color="auto" w:fill="auto"/>
          </w:tcPr>
          <w:p w:rsidR="00C0019B" w:rsidRDefault="00C216EB" w:rsidP="009E4957">
            <w:pPr>
              <w:jc w:val="center"/>
            </w:pPr>
            <w:r>
              <w:t>2 gab.</w:t>
            </w:r>
          </w:p>
        </w:tc>
      </w:tr>
      <w:tr w:rsidR="00C216EB" w:rsidTr="003271C2">
        <w:tc>
          <w:tcPr>
            <w:tcW w:w="860" w:type="dxa"/>
            <w:shd w:val="clear" w:color="auto" w:fill="auto"/>
          </w:tcPr>
          <w:p w:rsidR="00C216EB" w:rsidRPr="00CE7F4E" w:rsidRDefault="00C216EB" w:rsidP="0071186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216EB" w:rsidRPr="00B30ACB" w:rsidRDefault="00C216EB" w:rsidP="001807AD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maisiņu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</w:p>
        </w:tc>
        <w:tc>
          <w:tcPr>
            <w:tcW w:w="6184" w:type="dxa"/>
            <w:shd w:val="clear" w:color="auto" w:fill="auto"/>
            <w:vAlign w:val="center"/>
          </w:tcPr>
          <w:p w:rsidR="00C216EB" w:rsidRPr="00B30ACB" w:rsidRDefault="00C216EB" w:rsidP="001807AD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darbam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 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maisu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saliektiem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pirkstu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proofErr w:type="gramStart"/>
            <w:r w:rsidRPr="00B30ACB">
              <w:rPr>
                <w:rFonts w:eastAsia="Times New Roman"/>
                <w:color w:val="000000"/>
                <w:lang w:val="en-US" w:eastAsia="en-US"/>
              </w:rPr>
              <w:t>galiem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.</w:t>
            </w:r>
            <w:proofErr w:type="gram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Aizdare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3.8cm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platu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lipekli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Izmērs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S/M/L, </w:t>
            </w:r>
            <w:proofErr w:type="spellStart"/>
            <w:proofErr w:type="gramStart"/>
            <w:r w:rsidRPr="00B30ACB">
              <w:rPr>
                <w:rFonts w:eastAsia="Times New Roman"/>
                <w:color w:val="000000"/>
                <w:lang w:val="en-US" w:eastAsia="en-US"/>
              </w:rPr>
              <w:t>svars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 +</w:t>
            </w:r>
            <w:proofErr w:type="gram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- 390g.,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materiāls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dabīgā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16EB" w:rsidRPr="00B30ACB" w:rsidRDefault="00C216EB" w:rsidP="00C216EB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7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</w:tc>
      </w:tr>
      <w:tr w:rsidR="00C216EB" w:rsidTr="00A817B9">
        <w:tc>
          <w:tcPr>
            <w:tcW w:w="860" w:type="dxa"/>
            <w:shd w:val="clear" w:color="auto" w:fill="auto"/>
          </w:tcPr>
          <w:p w:rsidR="00C216EB" w:rsidRPr="00CE7F4E" w:rsidRDefault="00C216EB" w:rsidP="0071186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216EB" w:rsidRPr="00B30ACB" w:rsidRDefault="00C216EB" w:rsidP="001807AD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</w:p>
        </w:tc>
        <w:tc>
          <w:tcPr>
            <w:tcW w:w="6184" w:type="dxa"/>
            <w:shd w:val="clear" w:color="auto" w:fill="auto"/>
            <w:vAlign w:val="center"/>
          </w:tcPr>
          <w:p w:rsidR="00C216EB" w:rsidRPr="00B30ACB" w:rsidRDefault="00C216EB" w:rsidP="001807AD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uzšūtu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vaļējie</w:t>
            </w:r>
            <w:r>
              <w:rPr>
                <w:rFonts w:eastAsia="Times New Roman"/>
                <w:color w:val="000000"/>
                <w:lang w:val="en-US" w:eastAsia="en-US"/>
              </w:rPr>
              <w:t>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galiem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vienā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pusē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Dabīgā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Rokturis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proofErr w:type="gramStart"/>
            <w:r w:rsidRPr="00B30ACB">
              <w:rPr>
                <w:rFonts w:eastAsia="Times New Roman"/>
                <w:color w:val="000000"/>
                <w:lang w:val="en-US" w:eastAsia="en-US"/>
              </w:rPr>
              <w:t>paaugstina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 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roku</w:t>
            </w:r>
            <w:proofErr w:type="spellEnd"/>
            <w:proofErr w:type="gram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aizsardzību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Izteikta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fokusa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precizitātes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forma.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Regulējamas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Ķepām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jābūt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izliektām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uz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plaukstas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virpusi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16EB" w:rsidRPr="00B30ACB" w:rsidRDefault="00C216EB" w:rsidP="001807AD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2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pāris</w:t>
            </w:r>
            <w:proofErr w:type="spellEnd"/>
          </w:p>
        </w:tc>
      </w:tr>
      <w:tr w:rsidR="00C216EB" w:rsidTr="00C0019B">
        <w:tc>
          <w:tcPr>
            <w:tcW w:w="860" w:type="dxa"/>
            <w:shd w:val="clear" w:color="auto" w:fill="auto"/>
          </w:tcPr>
          <w:p w:rsidR="00C216EB" w:rsidRPr="00CE7F4E" w:rsidRDefault="00C216EB" w:rsidP="0071186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58" w:type="dxa"/>
            <w:shd w:val="clear" w:color="auto" w:fill="auto"/>
          </w:tcPr>
          <w:p w:rsidR="00C216EB" w:rsidRPr="009E4957" w:rsidRDefault="00C216EB" w:rsidP="009E4957">
            <w:pPr>
              <w:jc w:val="center"/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maisiņi</w:t>
            </w:r>
            <w:proofErr w:type="spellEnd"/>
          </w:p>
        </w:tc>
        <w:tc>
          <w:tcPr>
            <w:tcW w:w="6184" w:type="dxa"/>
            <w:shd w:val="clear" w:color="auto" w:fill="auto"/>
          </w:tcPr>
          <w:p w:rsidR="00C216EB" w:rsidRDefault="00C216EB" w:rsidP="005615BE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Materiāls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</w:p>
          <w:p w:rsidR="00C216EB" w:rsidRPr="009E4957" w:rsidRDefault="00C216EB" w:rsidP="005615BE"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Izmērs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1-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Diametrs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35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Augstums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100 cm, 2-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Izmērs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Diametrs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40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Augstums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120 cm</w:t>
            </w:r>
          </w:p>
        </w:tc>
        <w:tc>
          <w:tcPr>
            <w:tcW w:w="1266" w:type="dxa"/>
            <w:shd w:val="clear" w:color="auto" w:fill="auto"/>
          </w:tcPr>
          <w:p w:rsidR="00C216EB" w:rsidRDefault="00C216EB" w:rsidP="009E4957">
            <w:pPr>
              <w:jc w:val="center"/>
            </w:pPr>
            <w:r>
              <w:t>4 gab.</w:t>
            </w:r>
          </w:p>
        </w:tc>
      </w:tr>
      <w:tr w:rsidR="00C216EB" w:rsidTr="00C0019B">
        <w:tc>
          <w:tcPr>
            <w:tcW w:w="860" w:type="dxa"/>
            <w:shd w:val="clear" w:color="auto" w:fill="auto"/>
          </w:tcPr>
          <w:p w:rsidR="00C216EB" w:rsidRPr="00CE7F4E" w:rsidRDefault="00C216EB" w:rsidP="0071186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58" w:type="dxa"/>
            <w:shd w:val="clear" w:color="auto" w:fill="auto"/>
          </w:tcPr>
          <w:p w:rsidR="00C216EB" w:rsidRPr="009E4957" w:rsidRDefault="00C216EB" w:rsidP="009E4957">
            <w:pPr>
              <w:jc w:val="center"/>
            </w:pPr>
            <w:r>
              <w:t>Boksa ādas bumbiere</w:t>
            </w:r>
          </w:p>
        </w:tc>
        <w:tc>
          <w:tcPr>
            <w:tcW w:w="6184" w:type="dxa"/>
            <w:shd w:val="clear" w:color="auto" w:fill="auto"/>
          </w:tcPr>
          <w:p w:rsidR="00C216EB" w:rsidRPr="009E4957" w:rsidRDefault="00C216EB" w:rsidP="005615BE">
            <w:r>
              <w:t>Boksa ādas pneimatiska bumbiere</w:t>
            </w:r>
          </w:p>
        </w:tc>
        <w:tc>
          <w:tcPr>
            <w:tcW w:w="1266" w:type="dxa"/>
            <w:shd w:val="clear" w:color="auto" w:fill="auto"/>
          </w:tcPr>
          <w:p w:rsidR="00C216EB" w:rsidRDefault="00C216EB" w:rsidP="009E4957">
            <w:pPr>
              <w:jc w:val="center"/>
            </w:pPr>
            <w:r>
              <w:t>2 gab.</w:t>
            </w:r>
          </w:p>
        </w:tc>
      </w:tr>
      <w:tr w:rsidR="00C216EB" w:rsidTr="00C0019B">
        <w:tc>
          <w:tcPr>
            <w:tcW w:w="860" w:type="dxa"/>
            <w:shd w:val="clear" w:color="auto" w:fill="auto"/>
          </w:tcPr>
          <w:p w:rsidR="00C216EB" w:rsidRPr="00CE7F4E" w:rsidRDefault="00C216EB" w:rsidP="0071186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58" w:type="dxa"/>
            <w:shd w:val="clear" w:color="auto" w:fill="auto"/>
          </w:tcPr>
          <w:p w:rsidR="00C216EB" w:rsidRPr="009E4957" w:rsidRDefault="00C216EB" w:rsidP="009E4957">
            <w:pPr>
              <w:jc w:val="center"/>
            </w:pPr>
            <w:r>
              <w:t>Boksa treniņu ķivere</w:t>
            </w:r>
          </w:p>
        </w:tc>
        <w:tc>
          <w:tcPr>
            <w:tcW w:w="6184" w:type="dxa"/>
            <w:shd w:val="clear" w:color="auto" w:fill="auto"/>
          </w:tcPr>
          <w:p w:rsidR="00C216EB" w:rsidRDefault="00C216EB" w:rsidP="00C216EB">
            <w:r>
              <w:t>Pēc AIBA un LBF</w:t>
            </w:r>
          </w:p>
          <w:p w:rsidR="00C216EB" w:rsidRDefault="00C216EB" w:rsidP="00C216EB">
            <w:r>
              <w:t>(AIBA-Starptautiskā Amatieru boksa asociācija), (LBF-Latvijas Boksa federācija)</w:t>
            </w:r>
          </w:p>
          <w:p w:rsidR="00C216EB" w:rsidRDefault="00C216EB" w:rsidP="00C216EB">
            <w:hyperlink r:id="rId16" w:history="1">
              <w:r w:rsidRPr="002B22D2">
                <w:rPr>
                  <w:rStyle w:val="Hyperlink"/>
                </w:rPr>
                <w:t>http://d152tffy3gbaeg.cloudfront.net/2015/02/AIBA_AOB_RULES_2016-12-28_0.pdf</w:t>
              </w:r>
            </w:hyperlink>
          </w:p>
          <w:p w:rsidR="00C216EB" w:rsidRDefault="00C216EB" w:rsidP="00C216EB"/>
          <w:p w:rsidR="00C216EB" w:rsidRDefault="00C216EB" w:rsidP="00C216EB">
            <w:hyperlink r:id="rId17" w:history="1">
              <w:r w:rsidRPr="002B22D2">
                <w:rPr>
                  <w:rStyle w:val="Hyperlink"/>
                </w:rPr>
                <w:t>http://www.latboxing.lv/lbf/dokumenti/item/170-aiba-rules-28-12-2016</w:t>
              </w:r>
            </w:hyperlink>
          </w:p>
          <w:p w:rsidR="00C216EB" w:rsidRPr="009E4957" w:rsidRDefault="00C216EB" w:rsidP="005615BE"/>
        </w:tc>
        <w:tc>
          <w:tcPr>
            <w:tcW w:w="1266" w:type="dxa"/>
            <w:shd w:val="clear" w:color="auto" w:fill="auto"/>
          </w:tcPr>
          <w:p w:rsidR="006C744C" w:rsidRDefault="006C744C" w:rsidP="009E4957">
            <w:pPr>
              <w:jc w:val="center"/>
            </w:pPr>
          </w:p>
          <w:p w:rsidR="00C216EB" w:rsidRDefault="006C744C" w:rsidP="009E4957">
            <w:pPr>
              <w:jc w:val="center"/>
            </w:pPr>
            <w:r>
              <w:t>1 gab.</w:t>
            </w:r>
          </w:p>
        </w:tc>
      </w:tr>
      <w:tr w:rsidR="006C744C" w:rsidTr="00C0019B">
        <w:tc>
          <w:tcPr>
            <w:tcW w:w="860" w:type="dxa"/>
            <w:shd w:val="clear" w:color="auto" w:fill="auto"/>
          </w:tcPr>
          <w:p w:rsidR="006C744C" w:rsidRPr="00CE7F4E" w:rsidRDefault="006C744C" w:rsidP="007118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658" w:type="dxa"/>
            <w:shd w:val="clear" w:color="auto" w:fill="auto"/>
          </w:tcPr>
          <w:p w:rsidR="006C744C" w:rsidRDefault="006C744C" w:rsidP="001807AD">
            <w:proofErr w:type="spellStart"/>
            <w:r>
              <w:t>Plidbumba</w:t>
            </w:r>
            <w:proofErr w:type="spellEnd"/>
          </w:p>
        </w:tc>
        <w:tc>
          <w:tcPr>
            <w:tcW w:w="6184" w:type="dxa"/>
            <w:shd w:val="clear" w:color="auto" w:fill="auto"/>
          </w:tcPr>
          <w:p w:rsidR="006C744C" w:rsidRDefault="006C744C" w:rsidP="001807AD">
            <w:r>
              <w:t xml:space="preserve">Medicīnas </w:t>
            </w:r>
            <w:proofErr w:type="spellStart"/>
            <w:r>
              <w:t>pildbumba</w:t>
            </w:r>
            <w:proofErr w:type="spellEnd"/>
            <w:r>
              <w:t xml:space="preserve"> bez </w:t>
            </w:r>
            <w:proofErr w:type="spellStart"/>
            <w:r>
              <w:t>lateksa</w:t>
            </w:r>
            <w:proofErr w:type="spellEnd"/>
            <w:r>
              <w:t>. Neslīdoša.</w:t>
            </w:r>
          </w:p>
          <w:p w:rsidR="006C744C" w:rsidRDefault="006C744C" w:rsidP="001807AD">
            <w:r>
              <w:t>Svars 3kg</w:t>
            </w:r>
          </w:p>
          <w:p w:rsidR="006C744C" w:rsidRDefault="006C744C" w:rsidP="001807AD"/>
        </w:tc>
        <w:tc>
          <w:tcPr>
            <w:tcW w:w="1266" w:type="dxa"/>
            <w:shd w:val="clear" w:color="auto" w:fill="auto"/>
          </w:tcPr>
          <w:p w:rsidR="006C744C" w:rsidRDefault="006C744C" w:rsidP="009E4957">
            <w:pPr>
              <w:jc w:val="center"/>
            </w:pPr>
            <w:r>
              <w:t>6 gab.</w:t>
            </w:r>
          </w:p>
        </w:tc>
      </w:tr>
      <w:tr w:rsidR="006C744C" w:rsidTr="00C0019B">
        <w:tc>
          <w:tcPr>
            <w:tcW w:w="860" w:type="dxa"/>
            <w:shd w:val="clear" w:color="auto" w:fill="auto"/>
          </w:tcPr>
          <w:p w:rsidR="006C744C" w:rsidRPr="00CE7F4E" w:rsidRDefault="006C744C" w:rsidP="0071186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58" w:type="dxa"/>
            <w:shd w:val="clear" w:color="auto" w:fill="auto"/>
          </w:tcPr>
          <w:p w:rsidR="006C744C" w:rsidRPr="009E4957" w:rsidRDefault="006C744C" w:rsidP="009E4957">
            <w:pPr>
              <w:jc w:val="center"/>
            </w:pPr>
            <w:r>
              <w:t xml:space="preserve">Sporta virve ar rokturiem </w:t>
            </w:r>
          </w:p>
        </w:tc>
        <w:tc>
          <w:tcPr>
            <w:tcW w:w="6184" w:type="dxa"/>
            <w:shd w:val="clear" w:color="auto" w:fill="auto"/>
          </w:tcPr>
          <w:p w:rsidR="006C744C" w:rsidRPr="009E4957" w:rsidRDefault="006C744C" w:rsidP="005615BE">
            <w:r>
              <w:t>Sporta virve ar rokturiem</w:t>
            </w:r>
            <w:r w:rsidR="00243076">
              <w:t xml:space="preserve"> (9 m) diametrs 40mm</w:t>
            </w:r>
          </w:p>
        </w:tc>
        <w:tc>
          <w:tcPr>
            <w:tcW w:w="1266" w:type="dxa"/>
            <w:shd w:val="clear" w:color="auto" w:fill="auto"/>
          </w:tcPr>
          <w:p w:rsidR="006C744C" w:rsidRDefault="00243076" w:rsidP="009E4957">
            <w:pPr>
              <w:jc w:val="center"/>
            </w:pPr>
            <w:r>
              <w:t>1 gab.</w:t>
            </w:r>
          </w:p>
        </w:tc>
      </w:tr>
    </w:tbl>
    <w:p w:rsidR="00BB6F93" w:rsidRDefault="00BB6F93" w:rsidP="00D94404"/>
    <w:p w:rsidR="00243076" w:rsidRDefault="00243076" w:rsidP="00D94404"/>
    <w:p w:rsidR="00243076" w:rsidRDefault="00243076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3830">
        <w:t>metodiķe</w:t>
      </w:r>
      <w:r>
        <w:t xml:space="preserve">                        </w:t>
      </w:r>
      <w:r w:rsidR="00333830">
        <w:t xml:space="preserve">                             </w:t>
      </w:r>
      <w:proofErr w:type="spellStart"/>
      <w:r w:rsidR="00333830">
        <w:t>J.Dedele</w:t>
      </w:r>
      <w:proofErr w:type="spellEnd"/>
    </w:p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243076" w:rsidRDefault="00243076" w:rsidP="00D94404"/>
    <w:p w:rsidR="00243076" w:rsidRDefault="00243076" w:rsidP="00D94404"/>
    <w:p w:rsidR="00243076" w:rsidRDefault="00243076" w:rsidP="00D94404"/>
    <w:p w:rsidR="00243076" w:rsidRDefault="00243076" w:rsidP="00D94404"/>
    <w:p w:rsidR="00243076" w:rsidRDefault="00243076" w:rsidP="00D94404"/>
    <w:p w:rsidR="009E4957" w:rsidRDefault="009E4957" w:rsidP="00D94404"/>
    <w:p w:rsidR="009E4957" w:rsidRDefault="009E4957" w:rsidP="00D94404"/>
    <w:p w:rsidR="009E4957" w:rsidRDefault="009E4957" w:rsidP="00D94404"/>
    <w:p w:rsidR="009E4957" w:rsidRDefault="009E4957" w:rsidP="00D94404"/>
    <w:p w:rsidR="00763752" w:rsidRPr="00CF1BEC" w:rsidRDefault="00333830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2.</w:t>
      </w:r>
      <w:r w:rsidR="00763752" w:rsidRPr="00CF1BEC">
        <w:rPr>
          <w:rFonts w:eastAsia="Times New Roman"/>
          <w:b/>
          <w:lang w:eastAsia="ar-SA"/>
        </w:rPr>
        <w:t>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333830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333830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9E4957">
        <w:rPr>
          <w:rFonts w:eastAsia="Times New Roman"/>
          <w:lang w:eastAsia="ar-SA"/>
        </w:rPr>
        <w:t>piegādāt</w:t>
      </w:r>
      <w:r w:rsidR="007A7B96">
        <w:rPr>
          <w:rFonts w:eastAsia="Times New Roman"/>
          <w:lang w:eastAsia="ar-SA"/>
        </w:rPr>
        <w:t xml:space="preserve"> </w:t>
      </w:r>
      <w:r w:rsidR="009E4957">
        <w:rPr>
          <w:rFonts w:eastAsia="Times New Roman"/>
          <w:lang w:eastAsia="ar-SA"/>
        </w:rPr>
        <w:t>i</w:t>
      </w:r>
      <w:r w:rsidR="00017FE6">
        <w:t xml:space="preserve">nventāru Daugavpils Bērnu un jaunatnes sporta skolas </w:t>
      </w:r>
      <w:r w:rsidR="009E4957">
        <w:t>biatlona</w:t>
      </w:r>
      <w:r w:rsidR="00017FE6">
        <w:t xml:space="preserve"> nodaļai</w:t>
      </w:r>
      <w:r w:rsidR="009E4957">
        <w:t xml:space="preserve"> par šādu cenu</w:t>
      </w:r>
      <w:bookmarkStart w:id="2" w:name="_GoBack"/>
      <w:bookmarkEnd w:id="2"/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968" w:type="dxa"/>
        <w:tblLayout w:type="fixed"/>
        <w:tblLook w:val="04A0" w:firstRow="1" w:lastRow="0" w:firstColumn="1" w:lastColumn="0" w:noHBand="0" w:noVBand="1"/>
      </w:tblPr>
      <w:tblGrid>
        <w:gridCol w:w="813"/>
        <w:gridCol w:w="1422"/>
        <w:gridCol w:w="5386"/>
        <w:gridCol w:w="1418"/>
        <w:gridCol w:w="929"/>
      </w:tblGrid>
      <w:tr w:rsidR="00333830" w:rsidTr="00243076">
        <w:tc>
          <w:tcPr>
            <w:tcW w:w="813" w:type="dxa"/>
            <w:shd w:val="clear" w:color="auto" w:fill="FFFFFF" w:themeFill="background1"/>
          </w:tcPr>
          <w:p w:rsidR="00333830" w:rsidRPr="00CE7F4E" w:rsidRDefault="00333830" w:rsidP="00F4370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2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5386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929" w:type="dxa"/>
            <w:shd w:val="clear" w:color="auto" w:fill="FFFFFF" w:themeFill="background1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243076" w:rsidTr="00243076">
        <w:tc>
          <w:tcPr>
            <w:tcW w:w="813" w:type="dxa"/>
            <w:shd w:val="clear" w:color="auto" w:fill="auto"/>
          </w:tcPr>
          <w:p w:rsidR="00243076" w:rsidRPr="00CE7F4E" w:rsidRDefault="00243076" w:rsidP="001807AD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422" w:type="dxa"/>
            <w:shd w:val="clear" w:color="auto" w:fill="auto"/>
          </w:tcPr>
          <w:p w:rsidR="00243076" w:rsidRPr="009E4957" w:rsidRDefault="00243076" w:rsidP="001807AD">
            <w:pPr>
              <w:jc w:val="center"/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sacensībā</w:t>
            </w:r>
            <w:r>
              <w:rPr>
                <w:rFonts w:eastAsia="Times New Roman"/>
                <w:color w:val="000000"/>
                <w:lang w:val="en-US" w:eastAsia="en-US"/>
              </w:rPr>
              <w:t>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: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šorti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243076" w:rsidRDefault="00243076" w:rsidP="001807AD">
            <w:r>
              <w:t>Pēc AIBA un LBF</w:t>
            </w:r>
          </w:p>
          <w:p w:rsidR="00243076" w:rsidRDefault="00243076" w:rsidP="001807AD">
            <w:r>
              <w:t>(AIBA-Starptautiskā Amatieru boksa asociācija), (LBF-Latvijas Boksa federācija)</w:t>
            </w:r>
          </w:p>
          <w:p w:rsidR="00243076" w:rsidRDefault="00243076" w:rsidP="001807AD">
            <w:r>
              <w:t>Sarkanas</w:t>
            </w:r>
          </w:p>
          <w:p w:rsidR="00243076" w:rsidRDefault="00243076" w:rsidP="001807AD">
            <w:r>
              <w:t>Zilas</w:t>
            </w:r>
          </w:p>
          <w:p w:rsidR="00243076" w:rsidRDefault="00243076" w:rsidP="001807AD">
            <w:hyperlink r:id="rId18" w:history="1">
              <w:r w:rsidRPr="002B22D2">
                <w:rPr>
                  <w:rStyle w:val="Hyperlink"/>
                </w:rPr>
                <w:t>http://d152tffy3gbaeg.cloudfront.net/2015/02/AIBA_AOB_RULES_2016-12-28_0.pdf</w:t>
              </w:r>
            </w:hyperlink>
          </w:p>
          <w:p w:rsidR="00243076" w:rsidRDefault="00243076" w:rsidP="001807AD"/>
          <w:p w:rsidR="00243076" w:rsidRDefault="00243076" w:rsidP="001807AD">
            <w:hyperlink r:id="rId19" w:history="1">
              <w:r w:rsidRPr="002B22D2">
                <w:rPr>
                  <w:rStyle w:val="Hyperlink"/>
                </w:rPr>
                <w:t>http://www.latboxing.lv/lbf/dokumenti/item/170-aiba-rules-28-12-2016</w:t>
              </w:r>
            </w:hyperlink>
          </w:p>
          <w:p w:rsidR="00243076" w:rsidRDefault="00243076" w:rsidP="001807AD"/>
        </w:tc>
        <w:tc>
          <w:tcPr>
            <w:tcW w:w="1418" w:type="dxa"/>
            <w:shd w:val="clear" w:color="auto" w:fill="auto"/>
          </w:tcPr>
          <w:p w:rsidR="00243076" w:rsidRDefault="00243076" w:rsidP="001807AD">
            <w:pPr>
              <w:jc w:val="center"/>
            </w:pPr>
          </w:p>
          <w:p w:rsidR="00243076" w:rsidRDefault="00243076" w:rsidP="001807AD">
            <w:pPr>
              <w:jc w:val="center"/>
            </w:pPr>
          </w:p>
          <w:p w:rsidR="00243076" w:rsidRDefault="00243076" w:rsidP="001807AD">
            <w:pPr>
              <w:jc w:val="center"/>
            </w:pPr>
          </w:p>
          <w:p w:rsidR="00243076" w:rsidRDefault="00243076" w:rsidP="001807AD">
            <w:pPr>
              <w:jc w:val="center"/>
            </w:pPr>
            <w:r>
              <w:t>2 gab.</w:t>
            </w:r>
          </w:p>
          <w:p w:rsidR="00243076" w:rsidRDefault="00243076" w:rsidP="001807AD">
            <w:pPr>
              <w:jc w:val="center"/>
            </w:pPr>
            <w:r>
              <w:t>2 gab.</w:t>
            </w:r>
          </w:p>
        </w:tc>
        <w:tc>
          <w:tcPr>
            <w:tcW w:w="929" w:type="dxa"/>
          </w:tcPr>
          <w:p w:rsidR="00243076" w:rsidRDefault="00243076" w:rsidP="00F4370B">
            <w:pPr>
              <w:jc w:val="center"/>
            </w:pPr>
          </w:p>
        </w:tc>
      </w:tr>
      <w:tr w:rsidR="00243076" w:rsidTr="00243076">
        <w:tc>
          <w:tcPr>
            <w:tcW w:w="813" w:type="dxa"/>
            <w:shd w:val="clear" w:color="auto" w:fill="auto"/>
          </w:tcPr>
          <w:p w:rsidR="00243076" w:rsidRPr="00CE7F4E" w:rsidRDefault="00243076" w:rsidP="001807A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22" w:type="dxa"/>
            <w:shd w:val="clear" w:color="auto" w:fill="auto"/>
          </w:tcPr>
          <w:p w:rsidR="00243076" w:rsidRPr="009E4957" w:rsidRDefault="00243076" w:rsidP="001807AD">
            <w:pPr>
              <w:jc w:val="center"/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sacensībā</w:t>
            </w:r>
            <w:r>
              <w:rPr>
                <w:rFonts w:eastAsia="Times New Roman"/>
                <w:color w:val="000000"/>
                <w:lang w:val="en-US" w:eastAsia="en-US"/>
              </w:rPr>
              <w:t>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: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krekli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243076" w:rsidRDefault="00243076" w:rsidP="001807AD">
            <w:r>
              <w:t>Pēc AIBA un LBF</w:t>
            </w:r>
          </w:p>
          <w:p w:rsidR="00243076" w:rsidRDefault="00243076" w:rsidP="001807AD">
            <w:r>
              <w:t>(AIBA-Starptautiskā Amatieru boksa asociācija), (LBF-Latvijas Boksa federācija)</w:t>
            </w:r>
          </w:p>
          <w:p w:rsidR="00243076" w:rsidRDefault="00243076" w:rsidP="001807AD">
            <w:r>
              <w:t>Sarkanas</w:t>
            </w:r>
          </w:p>
          <w:p w:rsidR="00243076" w:rsidRDefault="00243076" w:rsidP="001807AD">
            <w:r>
              <w:t>Zilas</w:t>
            </w:r>
          </w:p>
          <w:p w:rsidR="00243076" w:rsidRDefault="00243076" w:rsidP="001807AD">
            <w:hyperlink r:id="rId20" w:history="1">
              <w:r w:rsidRPr="002B22D2">
                <w:rPr>
                  <w:rStyle w:val="Hyperlink"/>
                </w:rPr>
                <w:t>http://d152tffy3gbaeg.cloudfront.net/2015/02/AIBA_AOB_RULES_2016-12-28_0.pdf</w:t>
              </w:r>
            </w:hyperlink>
          </w:p>
          <w:p w:rsidR="00243076" w:rsidRDefault="00243076" w:rsidP="001807AD"/>
          <w:p w:rsidR="00243076" w:rsidRDefault="00243076" w:rsidP="001807AD">
            <w:hyperlink r:id="rId21" w:history="1">
              <w:r w:rsidRPr="002B22D2">
                <w:rPr>
                  <w:rStyle w:val="Hyperlink"/>
                </w:rPr>
                <w:t>http://www.latboxing.lv/lbf/dokumenti/item/170-aiba-rules-28-12-2016</w:t>
              </w:r>
            </w:hyperlink>
          </w:p>
          <w:p w:rsidR="00243076" w:rsidRDefault="00243076" w:rsidP="001807AD"/>
        </w:tc>
        <w:tc>
          <w:tcPr>
            <w:tcW w:w="1418" w:type="dxa"/>
            <w:shd w:val="clear" w:color="auto" w:fill="auto"/>
          </w:tcPr>
          <w:p w:rsidR="00243076" w:rsidRDefault="00243076" w:rsidP="001807AD">
            <w:pPr>
              <w:jc w:val="center"/>
            </w:pPr>
          </w:p>
          <w:p w:rsidR="00243076" w:rsidRDefault="00243076" w:rsidP="001807AD">
            <w:pPr>
              <w:jc w:val="center"/>
            </w:pPr>
          </w:p>
          <w:p w:rsidR="00243076" w:rsidRDefault="00243076" w:rsidP="001807AD">
            <w:pPr>
              <w:jc w:val="center"/>
            </w:pPr>
          </w:p>
          <w:p w:rsidR="00243076" w:rsidRDefault="00243076" w:rsidP="001807AD">
            <w:pPr>
              <w:jc w:val="center"/>
            </w:pPr>
            <w:r>
              <w:t>2 gab.</w:t>
            </w:r>
          </w:p>
          <w:p w:rsidR="00243076" w:rsidRDefault="00243076" w:rsidP="001807AD">
            <w:pPr>
              <w:jc w:val="center"/>
            </w:pPr>
            <w:r>
              <w:t>2 gab.</w:t>
            </w:r>
          </w:p>
        </w:tc>
        <w:tc>
          <w:tcPr>
            <w:tcW w:w="929" w:type="dxa"/>
          </w:tcPr>
          <w:p w:rsidR="00243076" w:rsidRDefault="00243076" w:rsidP="00F4370B">
            <w:pPr>
              <w:jc w:val="center"/>
            </w:pPr>
          </w:p>
        </w:tc>
      </w:tr>
      <w:tr w:rsidR="00243076" w:rsidTr="00243076">
        <w:tc>
          <w:tcPr>
            <w:tcW w:w="813" w:type="dxa"/>
            <w:shd w:val="clear" w:color="auto" w:fill="auto"/>
          </w:tcPr>
          <w:p w:rsidR="00243076" w:rsidRPr="00CE7F4E" w:rsidRDefault="00243076" w:rsidP="001807A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22" w:type="dxa"/>
            <w:shd w:val="clear" w:color="auto" w:fill="auto"/>
          </w:tcPr>
          <w:p w:rsidR="00243076" w:rsidRPr="009E4957" w:rsidRDefault="00243076" w:rsidP="001807AD">
            <w:pPr>
              <w:jc w:val="center"/>
            </w:pPr>
            <w:r>
              <w:t>Boksa bandāžas</w:t>
            </w:r>
          </w:p>
        </w:tc>
        <w:tc>
          <w:tcPr>
            <w:tcW w:w="5386" w:type="dxa"/>
            <w:shd w:val="clear" w:color="auto" w:fill="auto"/>
          </w:tcPr>
          <w:p w:rsidR="00243076" w:rsidRDefault="00243076" w:rsidP="001807AD">
            <w:r>
              <w:t>Materiāls: 60% poliesters, 40% kokvilna</w:t>
            </w:r>
          </w:p>
          <w:p w:rsidR="00243076" w:rsidRPr="009E4957" w:rsidRDefault="00243076" w:rsidP="001807AD">
            <w:r>
              <w:t>Baltais vai melns</w:t>
            </w:r>
          </w:p>
        </w:tc>
        <w:tc>
          <w:tcPr>
            <w:tcW w:w="1418" w:type="dxa"/>
            <w:shd w:val="clear" w:color="auto" w:fill="auto"/>
          </w:tcPr>
          <w:p w:rsidR="00243076" w:rsidRDefault="00243076" w:rsidP="001807AD">
            <w:pPr>
              <w:jc w:val="center"/>
            </w:pPr>
            <w:r>
              <w:t>2 gab.</w:t>
            </w:r>
          </w:p>
        </w:tc>
        <w:tc>
          <w:tcPr>
            <w:tcW w:w="929" w:type="dxa"/>
          </w:tcPr>
          <w:p w:rsidR="00243076" w:rsidRDefault="00243076" w:rsidP="00F4370B">
            <w:pPr>
              <w:jc w:val="center"/>
            </w:pPr>
          </w:p>
        </w:tc>
      </w:tr>
      <w:tr w:rsidR="00243076" w:rsidTr="00243076">
        <w:tc>
          <w:tcPr>
            <w:tcW w:w="813" w:type="dxa"/>
            <w:shd w:val="clear" w:color="auto" w:fill="auto"/>
          </w:tcPr>
          <w:p w:rsidR="00243076" w:rsidRPr="00CE7F4E" w:rsidRDefault="00243076" w:rsidP="001807A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43076" w:rsidRPr="00B30ACB" w:rsidRDefault="00243076" w:rsidP="001807AD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maisiņu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243076" w:rsidRPr="00B30ACB" w:rsidRDefault="00243076" w:rsidP="001807AD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darbam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 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maisu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saliektiem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pirkstu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proofErr w:type="gramStart"/>
            <w:r w:rsidRPr="00B30ACB">
              <w:rPr>
                <w:rFonts w:eastAsia="Times New Roman"/>
                <w:color w:val="000000"/>
                <w:lang w:val="en-US" w:eastAsia="en-US"/>
              </w:rPr>
              <w:t>galiem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.</w:t>
            </w:r>
            <w:proofErr w:type="gram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Aizdare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3.8cm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platu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lipekli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Izmērs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S/M/L, </w:t>
            </w:r>
            <w:proofErr w:type="spellStart"/>
            <w:proofErr w:type="gramStart"/>
            <w:r w:rsidRPr="00B30ACB">
              <w:rPr>
                <w:rFonts w:eastAsia="Times New Roman"/>
                <w:color w:val="000000"/>
                <w:lang w:val="en-US" w:eastAsia="en-US"/>
              </w:rPr>
              <w:t>svars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 +</w:t>
            </w:r>
            <w:proofErr w:type="gram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- 390g.,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materiāls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dabīgā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076" w:rsidRPr="00B30ACB" w:rsidRDefault="00243076" w:rsidP="001807AD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7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</w:tc>
        <w:tc>
          <w:tcPr>
            <w:tcW w:w="929" w:type="dxa"/>
          </w:tcPr>
          <w:p w:rsidR="00243076" w:rsidRDefault="00243076" w:rsidP="00F4370B">
            <w:pPr>
              <w:jc w:val="center"/>
            </w:pPr>
          </w:p>
        </w:tc>
      </w:tr>
      <w:tr w:rsidR="00243076" w:rsidTr="00243076">
        <w:tc>
          <w:tcPr>
            <w:tcW w:w="813" w:type="dxa"/>
            <w:shd w:val="clear" w:color="auto" w:fill="auto"/>
          </w:tcPr>
          <w:p w:rsidR="00243076" w:rsidRPr="00CE7F4E" w:rsidRDefault="00243076" w:rsidP="001807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43076" w:rsidRPr="00B30ACB" w:rsidRDefault="00243076" w:rsidP="001807AD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243076" w:rsidRPr="00B30ACB" w:rsidRDefault="00243076" w:rsidP="001807AD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uzšūtu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vaļējie</w:t>
            </w:r>
            <w:r>
              <w:rPr>
                <w:rFonts w:eastAsia="Times New Roman"/>
                <w:color w:val="000000"/>
                <w:lang w:val="en-US" w:eastAsia="en-US"/>
              </w:rPr>
              <w:t>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galiem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vienā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pusē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Dabīgā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Rokturis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proofErr w:type="gramStart"/>
            <w:r w:rsidRPr="00B30ACB">
              <w:rPr>
                <w:rFonts w:eastAsia="Times New Roman"/>
                <w:color w:val="000000"/>
                <w:lang w:val="en-US" w:eastAsia="en-US"/>
              </w:rPr>
              <w:t>paaugstina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 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roku</w:t>
            </w:r>
            <w:proofErr w:type="spellEnd"/>
            <w:proofErr w:type="gram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aizsardzību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Izteikta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fokusa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precizitātes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forma.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Regulējamas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Ķepām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jābūt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izliektām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uz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plaukstas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virpusi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076" w:rsidRPr="00B30ACB" w:rsidRDefault="00243076" w:rsidP="001807AD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2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pāris</w:t>
            </w:r>
            <w:proofErr w:type="spellEnd"/>
          </w:p>
        </w:tc>
        <w:tc>
          <w:tcPr>
            <w:tcW w:w="929" w:type="dxa"/>
          </w:tcPr>
          <w:p w:rsidR="00243076" w:rsidRDefault="00243076" w:rsidP="00F4370B">
            <w:pPr>
              <w:jc w:val="center"/>
            </w:pPr>
          </w:p>
        </w:tc>
      </w:tr>
      <w:tr w:rsidR="00243076" w:rsidTr="00243076">
        <w:tc>
          <w:tcPr>
            <w:tcW w:w="813" w:type="dxa"/>
            <w:shd w:val="clear" w:color="auto" w:fill="auto"/>
          </w:tcPr>
          <w:p w:rsidR="00243076" w:rsidRPr="00CE7F4E" w:rsidRDefault="00243076" w:rsidP="001807A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22" w:type="dxa"/>
            <w:shd w:val="clear" w:color="auto" w:fill="auto"/>
          </w:tcPr>
          <w:p w:rsidR="00243076" w:rsidRPr="009E4957" w:rsidRDefault="00243076" w:rsidP="001807AD">
            <w:pPr>
              <w:jc w:val="center"/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maisiņi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243076" w:rsidRDefault="00243076" w:rsidP="001807AD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Materiāls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</w:p>
          <w:p w:rsidR="00243076" w:rsidRPr="009E4957" w:rsidRDefault="00243076" w:rsidP="001807AD"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Izmērs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1-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Diametrs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35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Augstums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100 cm, 2-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Izmērs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Diametrs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40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Augstums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120 cm</w:t>
            </w:r>
          </w:p>
        </w:tc>
        <w:tc>
          <w:tcPr>
            <w:tcW w:w="1418" w:type="dxa"/>
            <w:shd w:val="clear" w:color="auto" w:fill="auto"/>
          </w:tcPr>
          <w:p w:rsidR="00243076" w:rsidRDefault="00243076" w:rsidP="001807AD">
            <w:pPr>
              <w:jc w:val="center"/>
            </w:pPr>
            <w:r>
              <w:t>4 gab.</w:t>
            </w:r>
          </w:p>
        </w:tc>
        <w:tc>
          <w:tcPr>
            <w:tcW w:w="929" w:type="dxa"/>
          </w:tcPr>
          <w:p w:rsidR="00243076" w:rsidRDefault="00243076" w:rsidP="00F4370B">
            <w:pPr>
              <w:jc w:val="center"/>
            </w:pPr>
          </w:p>
        </w:tc>
      </w:tr>
      <w:tr w:rsidR="00243076" w:rsidTr="00243076">
        <w:tc>
          <w:tcPr>
            <w:tcW w:w="813" w:type="dxa"/>
            <w:shd w:val="clear" w:color="auto" w:fill="auto"/>
          </w:tcPr>
          <w:p w:rsidR="00243076" w:rsidRPr="00CE7F4E" w:rsidRDefault="00243076" w:rsidP="001807A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22" w:type="dxa"/>
            <w:shd w:val="clear" w:color="auto" w:fill="auto"/>
          </w:tcPr>
          <w:p w:rsidR="00243076" w:rsidRPr="009E4957" w:rsidRDefault="00243076" w:rsidP="001807AD">
            <w:pPr>
              <w:jc w:val="center"/>
            </w:pPr>
            <w:r>
              <w:t>Boksa ādas bumbiere</w:t>
            </w:r>
          </w:p>
        </w:tc>
        <w:tc>
          <w:tcPr>
            <w:tcW w:w="5386" w:type="dxa"/>
            <w:shd w:val="clear" w:color="auto" w:fill="auto"/>
          </w:tcPr>
          <w:p w:rsidR="00243076" w:rsidRPr="009E4957" w:rsidRDefault="00243076" w:rsidP="001807AD">
            <w:r>
              <w:t>Boksa ādas pneimatiska bumbiere</w:t>
            </w:r>
          </w:p>
        </w:tc>
        <w:tc>
          <w:tcPr>
            <w:tcW w:w="1418" w:type="dxa"/>
            <w:shd w:val="clear" w:color="auto" w:fill="auto"/>
          </w:tcPr>
          <w:p w:rsidR="00243076" w:rsidRDefault="00243076" w:rsidP="001807AD">
            <w:pPr>
              <w:jc w:val="center"/>
            </w:pPr>
            <w:r>
              <w:t>2 gab.</w:t>
            </w:r>
          </w:p>
        </w:tc>
        <w:tc>
          <w:tcPr>
            <w:tcW w:w="929" w:type="dxa"/>
          </w:tcPr>
          <w:p w:rsidR="00243076" w:rsidRDefault="00243076" w:rsidP="00F4370B">
            <w:pPr>
              <w:jc w:val="center"/>
            </w:pPr>
          </w:p>
        </w:tc>
      </w:tr>
      <w:tr w:rsidR="00243076" w:rsidTr="00243076">
        <w:tc>
          <w:tcPr>
            <w:tcW w:w="813" w:type="dxa"/>
            <w:shd w:val="clear" w:color="auto" w:fill="auto"/>
          </w:tcPr>
          <w:p w:rsidR="00243076" w:rsidRPr="00CE7F4E" w:rsidRDefault="00243076" w:rsidP="001807A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22" w:type="dxa"/>
            <w:shd w:val="clear" w:color="auto" w:fill="auto"/>
          </w:tcPr>
          <w:p w:rsidR="00243076" w:rsidRPr="009E4957" w:rsidRDefault="00243076" w:rsidP="001807AD">
            <w:pPr>
              <w:jc w:val="center"/>
            </w:pPr>
            <w:r>
              <w:t>Boksa treniņu ķivere</w:t>
            </w:r>
          </w:p>
        </w:tc>
        <w:tc>
          <w:tcPr>
            <w:tcW w:w="5386" w:type="dxa"/>
            <w:shd w:val="clear" w:color="auto" w:fill="auto"/>
          </w:tcPr>
          <w:p w:rsidR="00243076" w:rsidRDefault="00243076" w:rsidP="001807AD">
            <w:r>
              <w:t>Pēc AIBA un LBF</w:t>
            </w:r>
          </w:p>
          <w:p w:rsidR="00243076" w:rsidRDefault="00243076" w:rsidP="001807AD">
            <w:r>
              <w:t>(AIBA-Starptautiskā Amatieru boksa asociācija), (LBF-Latvijas Boksa federācija)</w:t>
            </w:r>
          </w:p>
          <w:p w:rsidR="00243076" w:rsidRDefault="00243076" w:rsidP="001807AD">
            <w:hyperlink r:id="rId22" w:history="1">
              <w:r w:rsidRPr="002B22D2">
                <w:rPr>
                  <w:rStyle w:val="Hyperlink"/>
                </w:rPr>
                <w:t>http://d152tffy3gbaeg.cloudfront.net/2015/02/AIBA_AOB_RULES_2016-12-28_0.pdf</w:t>
              </w:r>
            </w:hyperlink>
          </w:p>
          <w:p w:rsidR="00243076" w:rsidRDefault="00243076" w:rsidP="001807AD"/>
          <w:p w:rsidR="00243076" w:rsidRDefault="00243076" w:rsidP="001807AD">
            <w:hyperlink r:id="rId23" w:history="1">
              <w:r w:rsidRPr="002B22D2">
                <w:rPr>
                  <w:rStyle w:val="Hyperlink"/>
                </w:rPr>
                <w:t>http://www.latboxing.lv/lbf/dokumenti/item/170-aiba-rules-28-12-2016</w:t>
              </w:r>
            </w:hyperlink>
          </w:p>
          <w:p w:rsidR="00243076" w:rsidRPr="009E4957" w:rsidRDefault="00243076" w:rsidP="001807AD"/>
        </w:tc>
        <w:tc>
          <w:tcPr>
            <w:tcW w:w="1418" w:type="dxa"/>
            <w:shd w:val="clear" w:color="auto" w:fill="auto"/>
          </w:tcPr>
          <w:p w:rsidR="00243076" w:rsidRDefault="00243076" w:rsidP="001807AD">
            <w:pPr>
              <w:jc w:val="center"/>
            </w:pPr>
          </w:p>
          <w:p w:rsidR="00243076" w:rsidRDefault="00243076" w:rsidP="001807AD">
            <w:pPr>
              <w:jc w:val="center"/>
            </w:pPr>
            <w:r>
              <w:t>1 gab.</w:t>
            </w:r>
          </w:p>
        </w:tc>
        <w:tc>
          <w:tcPr>
            <w:tcW w:w="929" w:type="dxa"/>
          </w:tcPr>
          <w:p w:rsidR="00243076" w:rsidRDefault="00243076" w:rsidP="00F4370B">
            <w:pPr>
              <w:jc w:val="center"/>
            </w:pPr>
          </w:p>
        </w:tc>
      </w:tr>
      <w:tr w:rsidR="00243076" w:rsidTr="00243076">
        <w:tc>
          <w:tcPr>
            <w:tcW w:w="813" w:type="dxa"/>
            <w:shd w:val="clear" w:color="auto" w:fill="auto"/>
          </w:tcPr>
          <w:p w:rsidR="00243076" w:rsidRPr="00CE7F4E" w:rsidRDefault="00243076" w:rsidP="001807A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22" w:type="dxa"/>
            <w:shd w:val="clear" w:color="auto" w:fill="auto"/>
          </w:tcPr>
          <w:p w:rsidR="00243076" w:rsidRDefault="00243076" w:rsidP="001807AD">
            <w:proofErr w:type="spellStart"/>
            <w:r>
              <w:t>Plidbumba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243076" w:rsidRDefault="00243076" w:rsidP="001807AD">
            <w:r>
              <w:t xml:space="preserve">Medicīnas </w:t>
            </w:r>
            <w:proofErr w:type="spellStart"/>
            <w:r>
              <w:t>pildbumba</w:t>
            </w:r>
            <w:proofErr w:type="spellEnd"/>
            <w:r>
              <w:t xml:space="preserve"> bez </w:t>
            </w:r>
            <w:proofErr w:type="spellStart"/>
            <w:r>
              <w:t>lateksa</w:t>
            </w:r>
            <w:proofErr w:type="spellEnd"/>
            <w:r>
              <w:t>. Neslīdoša.</w:t>
            </w:r>
          </w:p>
          <w:p w:rsidR="00243076" w:rsidRDefault="00243076" w:rsidP="001807AD">
            <w:r>
              <w:t>Svars 3kg</w:t>
            </w:r>
          </w:p>
          <w:p w:rsidR="00243076" w:rsidRDefault="00243076" w:rsidP="001807AD"/>
        </w:tc>
        <w:tc>
          <w:tcPr>
            <w:tcW w:w="1418" w:type="dxa"/>
            <w:shd w:val="clear" w:color="auto" w:fill="auto"/>
          </w:tcPr>
          <w:p w:rsidR="00243076" w:rsidRDefault="00243076" w:rsidP="001807AD">
            <w:pPr>
              <w:jc w:val="center"/>
            </w:pPr>
            <w:r>
              <w:t>6 gab.</w:t>
            </w:r>
          </w:p>
        </w:tc>
        <w:tc>
          <w:tcPr>
            <w:tcW w:w="929" w:type="dxa"/>
          </w:tcPr>
          <w:p w:rsidR="00243076" w:rsidRDefault="00243076" w:rsidP="00F4370B">
            <w:pPr>
              <w:jc w:val="center"/>
            </w:pPr>
          </w:p>
        </w:tc>
      </w:tr>
      <w:tr w:rsidR="00243076" w:rsidTr="00243076">
        <w:tc>
          <w:tcPr>
            <w:tcW w:w="813" w:type="dxa"/>
            <w:shd w:val="clear" w:color="auto" w:fill="auto"/>
          </w:tcPr>
          <w:p w:rsidR="00243076" w:rsidRPr="00CE7F4E" w:rsidRDefault="00243076" w:rsidP="001807A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22" w:type="dxa"/>
            <w:shd w:val="clear" w:color="auto" w:fill="auto"/>
          </w:tcPr>
          <w:p w:rsidR="00243076" w:rsidRPr="009E4957" w:rsidRDefault="00243076" w:rsidP="001807AD">
            <w:pPr>
              <w:jc w:val="center"/>
            </w:pPr>
            <w:r>
              <w:t xml:space="preserve">Sporta virve ar rokturiem </w:t>
            </w:r>
          </w:p>
        </w:tc>
        <w:tc>
          <w:tcPr>
            <w:tcW w:w="5386" w:type="dxa"/>
            <w:shd w:val="clear" w:color="auto" w:fill="auto"/>
          </w:tcPr>
          <w:p w:rsidR="00243076" w:rsidRPr="009E4957" w:rsidRDefault="00243076" w:rsidP="001807AD">
            <w:r>
              <w:t>Sporta virve ar rokturiem</w:t>
            </w:r>
            <w:r>
              <w:t xml:space="preserve"> (9 m) diametrs 40mm</w:t>
            </w:r>
          </w:p>
        </w:tc>
        <w:tc>
          <w:tcPr>
            <w:tcW w:w="1418" w:type="dxa"/>
            <w:shd w:val="clear" w:color="auto" w:fill="auto"/>
          </w:tcPr>
          <w:p w:rsidR="00243076" w:rsidRDefault="00243076" w:rsidP="001807AD">
            <w:pPr>
              <w:jc w:val="center"/>
            </w:pPr>
            <w:r>
              <w:t>1 gab.</w:t>
            </w:r>
          </w:p>
        </w:tc>
        <w:tc>
          <w:tcPr>
            <w:tcW w:w="929" w:type="dxa"/>
          </w:tcPr>
          <w:p w:rsidR="00243076" w:rsidRDefault="00243076" w:rsidP="00F4370B">
            <w:pPr>
              <w:jc w:val="center"/>
            </w:pPr>
          </w:p>
        </w:tc>
      </w:tr>
      <w:tr w:rsidR="00333830" w:rsidRPr="00DE0361" w:rsidTr="00243076">
        <w:tc>
          <w:tcPr>
            <w:tcW w:w="813" w:type="dxa"/>
            <w:shd w:val="clear" w:color="auto" w:fill="auto"/>
          </w:tcPr>
          <w:p w:rsidR="00333830" w:rsidRDefault="00333830" w:rsidP="00F4370B">
            <w:pPr>
              <w:jc w:val="center"/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378CD" w:rsidRDefault="006378CD" w:rsidP="00DC53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  <w:p w:rsidR="00333830" w:rsidRPr="006378CD" w:rsidRDefault="006378CD" w:rsidP="00DC53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6378CD">
              <w:rPr>
                <w:b/>
              </w:rPr>
              <w:t>Kopā:</w:t>
            </w:r>
          </w:p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</w:p>
        </w:tc>
        <w:tc>
          <w:tcPr>
            <w:tcW w:w="929" w:type="dxa"/>
          </w:tcPr>
          <w:p w:rsidR="00333830" w:rsidRDefault="00333830" w:rsidP="00F4370B">
            <w:pPr>
              <w:jc w:val="center"/>
            </w:pPr>
          </w:p>
        </w:tc>
      </w:tr>
    </w:tbl>
    <w:p w:rsidR="006378CD" w:rsidRDefault="006378CD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9E4957" w:rsidRDefault="009E4957" w:rsidP="009E4957">
      <w:pPr>
        <w:ind w:left="855"/>
      </w:pP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6E5F24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24" w:rsidRDefault="00726224" w:rsidP="00B46840">
      <w:r>
        <w:separator/>
      </w:r>
    </w:p>
  </w:endnote>
  <w:endnote w:type="continuationSeparator" w:id="0">
    <w:p w:rsidR="00726224" w:rsidRDefault="0072622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24" w:rsidRDefault="00726224" w:rsidP="00B46840">
      <w:r>
        <w:separator/>
      </w:r>
    </w:p>
  </w:footnote>
  <w:footnote w:type="continuationSeparator" w:id="0">
    <w:p w:rsidR="00726224" w:rsidRDefault="0072622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74021"/>
    <w:rsid w:val="000A3350"/>
    <w:rsid w:val="000B0AE8"/>
    <w:rsid w:val="000E066E"/>
    <w:rsid w:val="000F5930"/>
    <w:rsid w:val="00112826"/>
    <w:rsid w:val="00112B16"/>
    <w:rsid w:val="001139EE"/>
    <w:rsid w:val="001143E1"/>
    <w:rsid w:val="00166BFD"/>
    <w:rsid w:val="00174430"/>
    <w:rsid w:val="00190674"/>
    <w:rsid w:val="001A0389"/>
    <w:rsid w:val="001B609A"/>
    <w:rsid w:val="00233F93"/>
    <w:rsid w:val="00243076"/>
    <w:rsid w:val="002455FF"/>
    <w:rsid w:val="00277922"/>
    <w:rsid w:val="00290D7C"/>
    <w:rsid w:val="002A5535"/>
    <w:rsid w:val="002B2824"/>
    <w:rsid w:val="002B3BA9"/>
    <w:rsid w:val="002B594E"/>
    <w:rsid w:val="002C11B5"/>
    <w:rsid w:val="002E1FED"/>
    <w:rsid w:val="0030006B"/>
    <w:rsid w:val="00333830"/>
    <w:rsid w:val="00334204"/>
    <w:rsid w:val="00352C4E"/>
    <w:rsid w:val="00371F4F"/>
    <w:rsid w:val="003B48A9"/>
    <w:rsid w:val="003E1B46"/>
    <w:rsid w:val="0049759F"/>
    <w:rsid w:val="004A325E"/>
    <w:rsid w:val="004C2D2D"/>
    <w:rsid w:val="004D24FD"/>
    <w:rsid w:val="0050470F"/>
    <w:rsid w:val="00531F4A"/>
    <w:rsid w:val="00540E72"/>
    <w:rsid w:val="005615BE"/>
    <w:rsid w:val="00636F05"/>
    <w:rsid w:val="006378CD"/>
    <w:rsid w:val="006C744C"/>
    <w:rsid w:val="006E216F"/>
    <w:rsid w:val="006E5F24"/>
    <w:rsid w:val="0070155E"/>
    <w:rsid w:val="00706737"/>
    <w:rsid w:val="00710309"/>
    <w:rsid w:val="00711868"/>
    <w:rsid w:val="007230B6"/>
    <w:rsid w:val="00726224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C58CD"/>
    <w:rsid w:val="007E59BD"/>
    <w:rsid w:val="007F6B8F"/>
    <w:rsid w:val="00833B3D"/>
    <w:rsid w:val="0084024C"/>
    <w:rsid w:val="00841860"/>
    <w:rsid w:val="008671B6"/>
    <w:rsid w:val="008B7743"/>
    <w:rsid w:val="008C0A48"/>
    <w:rsid w:val="008C6DC8"/>
    <w:rsid w:val="008E4FCD"/>
    <w:rsid w:val="008E7C41"/>
    <w:rsid w:val="008F3869"/>
    <w:rsid w:val="0092163D"/>
    <w:rsid w:val="00945D34"/>
    <w:rsid w:val="00961330"/>
    <w:rsid w:val="009C0406"/>
    <w:rsid w:val="009E4957"/>
    <w:rsid w:val="009E7E33"/>
    <w:rsid w:val="009F3ED2"/>
    <w:rsid w:val="00A02666"/>
    <w:rsid w:val="00AC26BE"/>
    <w:rsid w:val="00AD2F6C"/>
    <w:rsid w:val="00B102D2"/>
    <w:rsid w:val="00B3022C"/>
    <w:rsid w:val="00B35CEE"/>
    <w:rsid w:val="00B4358F"/>
    <w:rsid w:val="00B46840"/>
    <w:rsid w:val="00B5550B"/>
    <w:rsid w:val="00B86D8D"/>
    <w:rsid w:val="00BB6F93"/>
    <w:rsid w:val="00BD2B8B"/>
    <w:rsid w:val="00C0019B"/>
    <w:rsid w:val="00C216E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E020F2"/>
    <w:rsid w:val="00E0337E"/>
    <w:rsid w:val="00E646DE"/>
    <w:rsid w:val="00E833EB"/>
    <w:rsid w:val="00EC4F57"/>
    <w:rsid w:val="00F138A4"/>
    <w:rsid w:val="00F57553"/>
    <w:rsid w:val="00F84C5E"/>
    <w:rsid w:val="00FC761F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tboxing.lv/lbf/dokumenti/item/170-aiba-rules-28-12-2016" TargetMode="External"/><Relationship Id="rId18" Type="http://schemas.openxmlformats.org/officeDocument/2006/relationships/hyperlink" Target="http://d152tffy3gbaeg.cloudfront.net/2015/02/AIBA_AOB_RULES_2016-12-28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tboxing.lv/lbf/dokumenti/item/170-aiba-rules-28-12-20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152tffy3gbaeg.cloudfront.net/2015/02/AIBA_AOB_RULES_2016-12-28_0.pdf" TargetMode="External"/><Relationship Id="rId17" Type="http://schemas.openxmlformats.org/officeDocument/2006/relationships/hyperlink" Target="http://www.latboxing.lv/lbf/dokumenti/item/170-aiba-rules-28-12-201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152tffy3gbaeg.cloudfront.net/2015/02/AIBA_AOB_RULES_2016-12-28_0.pdf" TargetMode="External"/><Relationship Id="rId20" Type="http://schemas.openxmlformats.org/officeDocument/2006/relationships/hyperlink" Target="http://d152tffy3gbaeg.cloudfront.net/2015/02/AIBA_AOB_RULES_2016-12-28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atboxing.lv/lbf/dokumenti/item/170-aiba-rules-28-12-2016" TargetMode="External"/><Relationship Id="rId23" Type="http://schemas.openxmlformats.org/officeDocument/2006/relationships/hyperlink" Target="http://www.latboxing.lv/lbf/dokumenti/item/170-aiba-rules-28-12-2016" TargetMode="External"/><Relationship Id="rId10" Type="http://schemas.openxmlformats.org/officeDocument/2006/relationships/hyperlink" Target="mailto:daugavpilsbjss@inbox.lv" TargetMode="External"/><Relationship Id="rId19" Type="http://schemas.openxmlformats.org/officeDocument/2006/relationships/hyperlink" Target="http://www.latboxing.lv/lbf/dokumenti/item/170-aiba-rules-28-12-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hyperlink" Target="http://d152tffy3gbaeg.cloudfront.net/2015/02/AIBA_AOB_RULES_2016-12-28_0.pdf" TargetMode="External"/><Relationship Id="rId22" Type="http://schemas.openxmlformats.org/officeDocument/2006/relationships/hyperlink" Target="http://d152tffy3gbaeg.cloudfront.net/2015/02/AIBA_AOB_RULES_2016-12-2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3364-D818-44AA-9301-C31A2701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5368</Words>
  <Characters>3061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15</cp:revision>
  <cp:lastPrinted>2016-03-18T09:24:00Z</cp:lastPrinted>
  <dcterms:created xsi:type="dcterms:W3CDTF">2016-03-16T09:11:00Z</dcterms:created>
  <dcterms:modified xsi:type="dcterms:W3CDTF">2017-05-02T13:12:00Z</dcterms:modified>
</cp:coreProperties>
</file>