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F2" w:rsidRPr="004A4DA0" w:rsidRDefault="004827F2" w:rsidP="004827F2">
      <w:pPr>
        <w:pStyle w:val="B-Headline02"/>
        <w:numPr>
          <w:ilvl w:val="0"/>
          <w:numId w:val="0"/>
        </w:numPr>
        <w:ind w:left="709" w:hanging="709"/>
        <w:rPr>
          <w:lang w:val="lv-LV"/>
        </w:rPr>
      </w:pPr>
      <w:bookmarkStart w:id="0" w:name="_Toc446060868"/>
      <w:bookmarkStart w:id="1" w:name="_Toc446073442"/>
      <w:bookmarkStart w:id="2" w:name="_Toc466033501"/>
      <w:r w:rsidRPr="004A4DA0">
        <w:rPr>
          <w:lang w:val="lv-LV"/>
        </w:rPr>
        <w:t>CO</w:t>
      </w:r>
      <w:r w:rsidRPr="004A4DA0">
        <w:rPr>
          <w:vertAlign w:val="subscript"/>
          <w:lang w:val="lv-LV"/>
        </w:rPr>
        <w:t>2</w:t>
      </w:r>
      <w:r w:rsidRPr="004A4DA0">
        <w:rPr>
          <w:lang w:val="lv-LV"/>
        </w:rPr>
        <w:t xml:space="preserve"> emisijas Daugavpils pilsētā</w:t>
      </w:r>
      <w:bookmarkEnd w:id="0"/>
      <w:bookmarkEnd w:id="1"/>
      <w:bookmarkEnd w:id="2"/>
    </w:p>
    <w:p w:rsidR="004827F2" w:rsidRPr="004A4DA0" w:rsidRDefault="004827F2" w:rsidP="004827F2">
      <w:pPr>
        <w:rPr>
          <w:lang w:val="lv-LV"/>
        </w:rPr>
      </w:pPr>
      <w:r w:rsidRPr="004A4DA0">
        <w:rPr>
          <w:lang w:val="lv-LV"/>
        </w:rPr>
        <w:t>Balstoties uz augstāk aprakstītajiem datiem un aprēķinos izmantotajiem pieņēmumiem, 1.attēlā ir dots kopējais CO</w:t>
      </w:r>
      <w:r w:rsidRPr="004A4DA0">
        <w:rPr>
          <w:vertAlign w:val="subscript"/>
          <w:lang w:val="lv-LV"/>
        </w:rPr>
        <w:t>2</w:t>
      </w:r>
      <w:r w:rsidRPr="004A4DA0">
        <w:rPr>
          <w:lang w:val="lv-LV"/>
        </w:rPr>
        <w:t xml:space="preserve"> emisiju apjoms Daugavpils pilsētā no 2008. līdz 2015.gadam. </w:t>
      </w:r>
    </w:p>
    <w:p w:rsidR="004827F2" w:rsidRPr="004A4DA0" w:rsidRDefault="004827F2" w:rsidP="004827F2">
      <w:pPr>
        <w:rPr>
          <w:lang w:val="lv-LV"/>
        </w:rPr>
      </w:pPr>
      <w:r w:rsidRPr="004A4DA0">
        <w:rPr>
          <w:lang w:val="lv-LV"/>
        </w:rPr>
        <w:t>Lielākais CO</w:t>
      </w:r>
      <w:r w:rsidRPr="004A4DA0">
        <w:rPr>
          <w:vertAlign w:val="subscript"/>
          <w:lang w:val="lv-LV"/>
        </w:rPr>
        <w:t>2</w:t>
      </w:r>
      <w:r w:rsidRPr="004A4DA0">
        <w:rPr>
          <w:lang w:val="lv-LV"/>
        </w:rPr>
        <w:t xml:space="preserve"> emisiju apjoms bija 2010.gadā – 251 tūkst.tCO</w:t>
      </w:r>
      <w:r w:rsidRPr="004A4DA0">
        <w:rPr>
          <w:vertAlign w:val="subscript"/>
          <w:lang w:val="lv-LV"/>
        </w:rPr>
        <w:t>2</w:t>
      </w:r>
      <w:r w:rsidRPr="004A4DA0">
        <w:rPr>
          <w:lang w:val="lv-LV"/>
        </w:rPr>
        <w:t>. Savukārt 2015.gadā Daugavpilī tika emitētas 238 tūkst.tCO</w:t>
      </w:r>
      <w:r w:rsidRPr="004A4DA0">
        <w:rPr>
          <w:vertAlign w:val="subscript"/>
          <w:lang w:val="lv-LV"/>
        </w:rPr>
        <w:t>2</w:t>
      </w:r>
      <w:r w:rsidRPr="004A4DA0">
        <w:rPr>
          <w:lang w:val="lv-LV"/>
        </w:rPr>
        <w:t xml:space="preserve">, kas ir par 5% mazāk nekā 2010.gadā. Tas galvenokārt ir saistīts ar mazāku dabas gāzes patēriņu siltumapgādes vajadzībām. </w:t>
      </w:r>
    </w:p>
    <w:p w:rsidR="004827F2" w:rsidRPr="004A4DA0" w:rsidRDefault="004827F2" w:rsidP="004827F2">
      <w:pPr>
        <w:spacing w:after="0" w:line="240" w:lineRule="auto"/>
        <w:jc w:val="center"/>
        <w:rPr>
          <w:lang w:val="lv-LV"/>
        </w:rPr>
      </w:pPr>
      <w:r w:rsidRPr="004A4DA0">
        <w:rPr>
          <w:noProof/>
          <w:lang w:val="en-US" w:eastAsia="en-US"/>
        </w:rPr>
        <w:drawing>
          <wp:inline distT="0" distB="0" distL="0" distR="0" wp14:anchorId="495D99D4" wp14:editId="26E3374E">
            <wp:extent cx="5543056" cy="2166928"/>
            <wp:effectExtent l="0" t="0" r="635" b="508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90" cy="2166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7F2" w:rsidRPr="004A4DA0" w:rsidRDefault="004827F2" w:rsidP="004827F2">
      <w:pPr>
        <w:rPr>
          <w:lang w:val="lv-LV"/>
        </w:rPr>
      </w:pPr>
      <w:r w:rsidRPr="004A4DA0">
        <w:rPr>
          <w:lang w:val="lv-LV"/>
        </w:rPr>
        <w:t>1.attēls: CO</w:t>
      </w:r>
      <w:r w:rsidRPr="004A4DA0">
        <w:rPr>
          <w:vertAlign w:val="subscript"/>
          <w:lang w:val="lv-LV"/>
        </w:rPr>
        <w:t>2</w:t>
      </w:r>
      <w:r w:rsidRPr="004A4DA0">
        <w:rPr>
          <w:lang w:val="lv-LV"/>
        </w:rPr>
        <w:t xml:space="preserve"> emisiju apjoms Daugavpilī 2008.-2015.gadā</w:t>
      </w:r>
    </w:p>
    <w:p w:rsidR="004827F2" w:rsidRPr="004A4DA0" w:rsidRDefault="004827F2" w:rsidP="004827F2">
      <w:pPr>
        <w:rPr>
          <w:lang w:val="lv-LV"/>
        </w:rPr>
      </w:pPr>
      <w:r w:rsidRPr="004A4DA0">
        <w:rPr>
          <w:lang w:val="lv-LV"/>
        </w:rPr>
        <w:t>Galvenais CO</w:t>
      </w:r>
      <w:r w:rsidRPr="004A4DA0">
        <w:rPr>
          <w:vertAlign w:val="subscript"/>
          <w:lang w:val="lv-LV"/>
        </w:rPr>
        <w:t>2</w:t>
      </w:r>
      <w:r w:rsidRPr="004A4DA0">
        <w:rPr>
          <w:lang w:val="lv-LV"/>
        </w:rPr>
        <w:t xml:space="preserve"> emisiju avots Daugavpilī ir dabas gāzes patēriņš siltumapgādē, kas veido 59% no kopējām emisijām. Lai gan siltumapgādes uzņēmums ir jau veicis kurināmā maiņas projektus, aizstājot mazutu, dīzeļdegvielu un akmeņogles ar dabas gāzi, no klimata viedokļa tas sniedz tikai nelielu CO</w:t>
      </w:r>
      <w:r w:rsidRPr="004A4DA0">
        <w:rPr>
          <w:vertAlign w:val="subscript"/>
          <w:lang w:val="lv-LV"/>
        </w:rPr>
        <w:t>2</w:t>
      </w:r>
      <w:r w:rsidRPr="004A4DA0">
        <w:rPr>
          <w:lang w:val="lv-LV"/>
        </w:rPr>
        <w:t xml:space="preserve"> emisiju samazinājumu. Otrs lielākais CO</w:t>
      </w:r>
      <w:r w:rsidRPr="004A4DA0">
        <w:rPr>
          <w:vertAlign w:val="subscript"/>
          <w:lang w:val="lv-LV"/>
        </w:rPr>
        <w:t>2</w:t>
      </w:r>
      <w:r w:rsidRPr="004A4DA0">
        <w:rPr>
          <w:lang w:val="lv-LV"/>
        </w:rPr>
        <w:t xml:space="preserve"> emisiju avots ir privātais transports (skat.2.attēlu).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40"/>
      </w:tblGrid>
      <w:tr w:rsidR="004827F2" w:rsidRPr="004A4DA0" w:rsidTr="002C2763">
        <w:trPr>
          <w:jc w:val="center"/>
        </w:trPr>
        <w:tc>
          <w:tcPr>
            <w:tcW w:w="4640" w:type="dxa"/>
          </w:tcPr>
          <w:p w:rsidR="004827F2" w:rsidRPr="004A4DA0" w:rsidRDefault="004827F2" w:rsidP="002C2763">
            <w:pPr>
              <w:spacing w:after="0" w:line="240" w:lineRule="auto"/>
              <w:rPr>
                <w:lang w:val="lv-LV"/>
              </w:rPr>
            </w:pPr>
            <w:r w:rsidRPr="004A4DA0">
              <w:rPr>
                <w:noProof/>
                <w:lang w:val="en-US" w:eastAsia="en-US"/>
              </w:rPr>
              <w:drawing>
                <wp:inline distT="0" distB="0" distL="0" distR="0" wp14:anchorId="75CD6447" wp14:editId="638CF9CB">
                  <wp:extent cx="2812990" cy="1673225"/>
                  <wp:effectExtent l="0" t="0" r="6985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990" cy="167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4827F2" w:rsidRPr="004A4DA0" w:rsidRDefault="004827F2" w:rsidP="002C2763">
            <w:pPr>
              <w:spacing w:after="0" w:line="240" w:lineRule="auto"/>
              <w:rPr>
                <w:lang w:val="lv-LV"/>
              </w:rPr>
            </w:pPr>
            <w:r w:rsidRPr="004A4DA0">
              <w:rPr>
                <w:noProof/>
                <w:lang w:val="en-US" w:eastAsia="en-US"/>
              </w:rPr>
              <w:drawing>
                <wp:inline distT="0" distB="0" distL="0" distR="0" wp14:anchorId="3257C048" wp14:editId="6B785455">
                  <wp:extent cx="2784475" cy="1673769"/>
                  <wp:effectExtent l="0" t="0" r="0" b="317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338" cy="1677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7F2" w:rsidRPr="004A4DA0" w:rsidRDefault="004827F2" w:rsidP="004827F2">
      <w:pPr>
        <w:rPr>
          <w:lang w:val="lv-LV"/>
        </w:rPr>
      </w:pPr>
      <w:r w:rsidRPr="004A4DA0">
        <w:rPr>
          <w:lang w:val="lv-LV"/>
        </w:rPr>
        <w:t>2.attēls: Galvenie CO</w:t>
      </w:r>
      <w:r w:rsidRPr="004A4DA0">
        <w:rPr>
          <w:vertAlign w:val="subscript"/>
          <w:lang w:val="lv-LV"/>
        </w:rPr>
        <w:t>2</w:t>
      </w:r>
      <w:r w:rsidRPr="004A4DA0">
        <w:rPr>
          <w:lang w:val="lv-LV"/>
        </w:rPr>
        <w:t xml:space="preserve"> emisiju avoti 2010. un 2015.gadā</w:t>
      </w:r>
    </w:p>
    <w:p w:rsidR="004827F2" w:rsidRPr="004A4DA0" w:rsidRDefault="004827F2" w:rsidP="004827F2">
      <w:pPr>
        <w:rPr>
          <w:lang w:val="lv-LV"/>
        </w:rPr>
      </w:pPr>
      <w:r w:rsidRPr="004A4DA0">
        <w:rPr>
          <w:lang w:val="lv-LV"/>
        </w:rPr>
        <w:t>CO</w:t>
      </w:r>
      <w:r w:rsidRPr="004A4DA0">
        <w:rPr>
          <w:vertAlign w:val="subscript"/>
          <w:lang w:val="lv-LV"/>
        </w:rPr>
        <w:t>2</w:t>
      </w:r>
      <w:r w:rsidRPr="004A4DA0">
        <w:rPr>
          <w:lang w:val="lv-LV"/>
        </w:rPr>
        <w:t xml:space="preserve"> emisiju skaitliskās vērtības ir apkopotas </w:t>
      </w:r>
      <w:r>
        <w:rPr>
          <w:lang w:val="lv-LV"/>
        </w:rPr>
        <w:t>1</w:t>
      </w:r>
      <w:bookmarkStart w:id="3" w:name="_GoBack"/>
      <w:bookmarkEnd w:id="3"/>
      <w:r w:rsidRPr="004A4DA0">
        <w:rPr>
          <w:lang w:val="lv-LV"/>
        </w:rPr>
        <w:t>.tabulā.</w:t>
      </w:r>
    </w:p>
    <w:p w:rsidR="004827F2" w:rsidRPr="004A4DA0" w:rsidRDefault="004827F2" w:rsidP="004827F2">
      <w:pPr>
        <w:rPr>
          <w:lang w:val="lv-LV"/>
        </w:rPr>
      </w:pPr>
      <w:r>
        <w:rPr>
          <w:lang w:val="lv-LV"/>
        </w:rPr>
        <w:t>1</w:t>
      </w:r>
      <w:r w:rsidRPr="004A4DA0">
        <w:rPr>
          <w:lang w:val="lv-LV"/>
        </w:rPr>
        <w:t>.tabula: CO</w:t>
      </w:r>
      <w:r w:rsidRPr="004A4DA0">
        <w:rPr>
          <w:vertAlign w:val="subscript"/>
          <w:lang w:val="lv-LV"/>
        </w:rPr>
        <w:t>2</w:t>
      </w:r>
      <w:r w:rsidRPr="004A4DA0">
        <w:rPr>
          <w:lang w:val="lv-LV"/>
        </w:rPr>
        <w:t xml:space="preserve"> emisiju apjomi Daugavpilī 2008.-2015.gadā, tCO</w:t>
      </w:r>
      <w:r w:rsidRPr="004A4DA0">
        <w:rPr>
          <w:vertAlign w:val="subscript"/>
          <w:lang w:val="lv-LV"/>
        </w:rPr>
        <w:t>2</w:t>
      </w:r>
      <w:r w:rsidRPr="004A4DA0">
        <w:rPr>
          <w:lang w:val="lv-LV"/>
        </w:rPr>
        <w:t>/gadā</w:t>
      </w:r>
    </w:p>
    <w:tbl>
      <w:tblPr>
        <w:tblW w:w="10226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430"/>
        <w:gridCol w:w="992"/>
        <w:gridCol w:w="992"/>
        <w:gridCol w:w="992"/>
        <w:gridCol w:w="1052"/>
        <w:gridCol w:w="960"/>
        <w:gridCol w:w="960"/>
        <w:gridCol w:w="960"/>
        <w:gridCol w:w="888"/>
      </w:tblGrid>
      <w:tr w:rsidR="004827F2" w:rsidRPr="004A4DA0" w:rsidTr="002C2763">
        <w:trPr>
          <w:trHeight w:val="300"/>
          <w:jc w:val="center"/>
        </w:trPr>
        <w:tc>
          <w:tcPr>
            <w:tcW w:w="243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  <w:rPr>
                <w:b/>
              </w:rPr>
            </w:pPr>
            <w:r w:rsidRPr="004A4DA0">
              <w:rPr>
                <w:b/>
              </w:rPr>
              <w:lastRenderedPageBreak/>
              <w:t>CO</w:t>
            </w:r>
            <w:r w:rsidRPr="004A4DA0">
              <w:rPr>
                <w:b/>
                <w:vertAlign w:val="subscript"/>
              </w:rPr>
              <w:t>2</w:t>
            </w:r>
            <w:r w:rsidRPr="004A4DA0">
              <w:rPr>
                <w:b/>
              </w:rPr>
              <w:t xml:space="preserve"> emisiju (t/gadā) galvenie avoti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  <w:rPr>
                <w:b/>
              </w:rPr>
            </w:pPr>
            <w:r w:rsidRPr="004A4DA0">
              <w:rPr>
                <w:b/>
              </w:rPr>
              <w:t>2008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  <w:rPr>
                <w:b/>
              </w:rPr>
            </w:pPr>
            <w:r w:rsidRPr="004A4DA0">
              <w:rPr>
                <w:b/>
              </w:rPr>
              <w:t>2009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  <w:rPr>
                <w:b/>
              </w:rPr>
            </w:pPr>
            <w:r w:rsidRPr="004A4DA0">
              <w:rPr>
                <w:b/>
              </w:rPr>
              <w:t>2010</w:t>
            </w:r>
          </w:p>
        </w:tc>
        <w:tc>
          <w:tcPr>
            <w:tcW w:w="105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  <w:rPr>
                <w:b/>
              </w:rPr>
            </w:pPr>
            <w:r w:rsidRPr="004A4DA0">
              <w:rPr>
                <w:b/>
              </w:rPr>
              <w:t>2011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  <w:rPr>
                <w:b/>
              </w:rPr>
            </w:pPr>
            <w:r w:rsidRPr="004A4DA0">
              <w:rPr>
                <w:b/>
              </w:rPr>
              <w:t>2012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  <w:rPr>
                <w:b/>
              </w:rPr>
            </w:pPr>
            <w:r w:rsidRPr="004A4DA0">
              <w:rPr>
                <w:b/>
              </w:rPr>
              <w:t>2013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  <w:rPr>
                <w:b/>
              </w:rPr>
            </w:pPr>
            <w:r w:rsidRPr="004A4DA0">
              <w:rPr>
                <w:b/>
              </w:rPr>
              <w:t>2014</w:t>
            </w:r>
          </w:p>
        </w:tc>
        <w:tc>
          <w:tcPr>
            <w:tcW w:w="888" w:type="dxa"/>
            <w:vAlign w:val="center"/>
          </w:tcPr>
          <w:p w:rsidR="004827F2" w:rsidRPr="004A4DA0" w:rsidRDefault="004827F2" w:rsidP="002C2763">
            <w:pPr>
              <w:pStyle w:val="D-TabellenHeadings-03"/>
              <w:rPr>
                <w:b/>
              </w:rPr>
            </w:pPr>
            <w:r w:rsidRPr="004A4DA0">
              <w:rPr>
                <w:b/>
              </w:rPr>
              <w:t>2015</w:t>
            </w:r>
          </w:p>
        </w:tc>
      </w:tr>
      <w:tr w:rsidR="004827F2" w:rsidRPr="004A4DA0" w:rsidTr="002C2763">
        <w:trPr>
          <w:trHeight w:val="600"/>
          <w:jc w:val="center"/>
        </w:trPr>
        <w:tc>
          <w:tcPr>
            <w:tcW w:w="2430" w:type="dxa"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Centralizētā enerģijas ražošana (PAS ”Daugavpils siltumtīkli”)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129 018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121 423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114 088</w:t>
            </w:r>
          </w:p>
        </w:tc>
        <w:tc>
          <w:tcPr>
            <w:tcW w:w="105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101 115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94 443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81 485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66 332</w:t>
            </w:r>
          </w:p>
        </w:tc>
        <w:tc>
          <w:tcPr>
            <w:tcW w:w="888" w:type="dxa"/>
            <w:vAlign w:val="center"/>
          </w:tcPr>
          <w:p w:rsidR="004827F2" w:rsidRPr="004A4DA0" w:rsidRDefault="004827F2" w:rsidP="002C2763">
            <w:pPr>
              <w:pStyle w:val="D-TabellenHeadings-03"/>
            </w:pPr>
            <w:r w:rsidRPr="004A4DA0">
              <w:t>51 267</w:t>
            </w:r>
          </w:p>
        </w:tc>
      </w:tr>
      <w:tr w:rsidR="004827F2" w:rsidRPr="004A4DA0" w:rsidTr="002C2763">
        <w:trPr>
          <w:trHeight w:val="300"/>
          <w:jc w:val="center"/>
        </w:trPr>
        <w:tc>
          <w:tcPr>
            <w:tcW w:w="2430" w:type="dxa"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Siltumapgāde (pārējie; dabas gāze)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20 227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31 829</w:t>
            </w:r>
          </w:p>
        </w:tc>
        <w:tc>
          <w:tcPr>
            <w:tcW w:w="105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31 088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49 948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63 668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76 335</w:t>
            </w:r>
          </w:p>
        </w:tc>
        <w:tc>
          <w:tcPr>
            <w:tcW w:w="888" w:type="dxa"/>
            <w:vAlign w:val="center"/>
          </w:tcPr>
          <w:p w:rsidR="004827F2" w:rsidRPr="004A4DA0" w:rsidRDefault="004827F2" w:rsidP="002C2763">
            <w:pPr>
              <w:pStyle w:val="D-TabellenHeadings-03"/>
            </w:pPr>
            <w:r w:rsidRPr="004A4DA0">
              <w:t>72 809</w:t>
            </w:r>
          </w:p>
        </w:tc>
      </w:tr>
      <w:tr w:rsidR="004827F2" w:rsidRPr="004A4DA0" w:rsidTr="002C2763">
        <w:trPr>
          <w:trHeight w:val="300"/>
          <w:jc w:val="center"/>
        </w:trPr>
        <w:tc>
          <w:tcPr>
            <w:tcW w:w="243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Dabas gāzes patēriņš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30 512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27 943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29 717</w:t>
            </w:r>
          </w:p>
        </w:tc>
        <w:tc>
          <w:tcPr>
            <w:tcW w:w="105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26 547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26 656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27 528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26 178</w:t>
            </w:r>
          </w:p>
        </w:tc>
        <w:tc>
          <w:tcPr>
            <w:tcW w:w="888" w:type="dxa"/>
            <w:vAlign w:val="center"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25 432</w:t>
            </w:r>
          </w:p>
        </w:tc>
      </w:tr>
      <w:tr w:rsidR="004827F2" w:rsidRPr="004A4DA0" w:rsidTr="002C2763">
        <w:trPr>
          <w:trHeight w:val="300"/>
          <w:jc w:val="center"/>
        </w:trPr>
        <w:tc>
          <w:tcPr>
            <w:tcW w:w="243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Elektroenerģijas patēriņš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26 894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23 686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25 416</w:t>
            </w:r>
          </w:p>
        </w:tc>
        <w:tc>
          <w:tcPr>
            <w:tcW w:w="105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25 284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25 670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25 156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24 842</w:t>
            </w:r>
          </w:p>
        </w:tc>
        <w:tc>
          <w:tcPr>
            <w:tcW w:w="888" w:type="dxa"/>
            <w:vAlign w:val="center"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23 847</w:t>
            </w:r>
          </w:p>
        </w:tc>
      </w:tr>
      <w:tr w:rsidR="004827F2" w:rsidRPr="004A4DA0" w:rsidTr="002C2763">
        <w:trPr>
          <w:trHeight w:val="300"/>
          <w:jc w:val="center"/>
        </w:trPr>
        <w:tc>
          <w:tcPr>
            <w:tcW w:w="243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Privātais transports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55 962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53 948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46 600</w:t>
            </w:r>
          </w:p>
        </w:tc>
        <w:tc>
          <w:tcPr>
            <w:tcW w:w="105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45 062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43 406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44 021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45 658</w:t>
            </w:r>
          </w:p>
        </w:tc>
        <w:tc>
          <w:tcPr>
            <w:tcW w:w="888" w:type="dxa"/>
            <w:vAlign w:val="center"/>
          </w:tcPr>
          <w:p w:rsidR="004827F2" w:rsidRPr="004A4DA0" w:rsidRDefault="004827F2" w:rsidP="002C2763">
            <w:pPr>
              <w:pStyle w:val="D-TabellenHeadings-03"/>
            </w:pPr>
            <w:r w:rsidRPr="004A4DA0">
              <w:t>47 268</w:t>
            </w:r>
          </w:p>
        </w:tc>
      </w:tr>
      <w:tr w:rsidR="004827F2" w:rsidRPr="004A4DA0" w:rsidTr="002C2763">
        <w:trPr>
          <w:trHeight w:val="300"/>
          <w:jc w:val="center"/>
        </w:trPr>
        <w:tc>
          <w:tcPr>
            <w:tcW w:w="243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Sabiedriskais transports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3 634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3 408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3 282</w:t>
            </w:r>
          </w:p>
        </w:tc>
        <w:tc>
          <w:tcPr>
            <w:tcW w:w="105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3 158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3 102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3 086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3 096</w:t>
            </w:r>
          </w:p>
        </w:tc>
        <w:tc>
          <w:tcPr>
            <w:tcW w:w="888" w:type="dxa"/>
            <w:vAlign w:val="center"/>
          </w:tcPr>
          <w:p w:rsidR="004827F2" w:rsidRPr="004A4DA0" w:rsidRDefault="004827F2" w:rsidP="002C2763">
            <w:pPr>
              <w:pStyle w:val="D-TabellenHeadings-03"/>
            </w:pPr>
            <w:r w:rsidRPr="004A4DA0">
              <w:t>3 986</w:t>
            </w:r>
          </w:p>
        </w:tc>
      </w:tr>
      <w:tr w:rsidR="004827F2" w:rsidRPr="004A4DA0" w:rsidTr="002C2763">
        <w:trPr>
          <w:trHeight w:val="300"/>
          <w:jc w:val="center"/>
        </w:trPr>
        <w:tc>
          <w:tcPr>
            <w:tcW w:w="243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Pašvaldības transports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1 458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1 261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1 183</w:t>
            </w:r>
          </w:p>
        </w:tc>
        <w:tc>
          <w:tcPr>
            <w:tcW w:w="105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1 331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1 232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1 242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1 226</w:t>
            </w:r>
          </w:p>
        </w:tc>
        <w:tc>
          <w:tcPr>
            <w:tcW w:w="888" w:type="dxa"/>
            <w:vAlign w:val="center"/>
          </w:tcPr>
          <w:p w:rsidR="004827F2" w:rsidRPr="004A4DA0" w:rsidRDefault="004827F2" w:rsidP="002C2763">
            <w:pPr>
              <w:pStyle w:val="D-TabellenHeadings-03"/>
            </w:pPr>
            <w:r w:rsidRPr="004A4DA0">
              <w:t>1 234</w:t>
            </w:r>
          </w:p>
        </w:tc>
      </w:tr>
      <w:tr w:rsidR="004827F2" w:rsidRPr="004A4DA0" w:rsidTr="002C2763">
        <w:trPr>
          <w:trHeight w:val="300"/>
          <w:jc w:val="center"/>
        </w:trPr>
        <w:tc>
          <w:tcPr>
            <w:tcW w:w="243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KOPĀ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249 201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251 894</w:t>
            </w:r>
          </w:p>
        </w:tc>
        <w:tc>
          <w:tcPr>
            <w:tcW w:w="99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252 115</w:t>
            </w:r>
          </w:p>
        </w:tc>
        <w:tc>
          <w:tcPr>
            <w:tcW w:w="1052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233 585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244 456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246 186</w:t>
            </w:r>
          </w:p>
        </w:tc>
        <w:tc>
          <w:tcPr>
            <w:tcW w:w="960" w:type="dxa"/>
            <w:noWrap/>
            <w:vAlign w:val="center"/>
            <w:hideMark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243 666</w:t>
            </w:r>
          </w:p>
        </w:tc>
        <w:tc>
          <w:tcPr>
            <w:tcW w:w="888" w:type="dxa"/>
            <w:vAlign w:val="center"/>
          </w:tcPr>
          <w:p w:rsidR="004827F2" w:rsidRPr="004A4DA0" w:rsidRDefault="004827F2" w:rsidP="002C2763">
            <w:pPr>
              <w:pStyle w:val="D-TabellenHeadings-03"/>
            </w:pPr>
            <w:r w:rsidRPr="004A4DA0">
              <w:t>225 843</w:t>
            </w:r>
          </w:p>
        </w:tc>
      </w:tr>
    </w:tbl>
    <w:p w:rsidR="004827F2" w:rsidRPr="004A4DA0" w:rsidRDefault="004827F2" w:rsidP="004827F2">
      <w:pPr>
        <w:rPr>
          <w:lang w:val="lv-LV"/>
        </w:rPr>
      </w:pPr>
    </w:p>
    <w:p w:rsidR="00016387" w:rsidRDefault="00016387"/>
    <w:sectPr w:rsidR="00016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1BC8"/>
    <w:multiLevelType w:val="multilevel"/>
    <w:tmpl w:val="77CAE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-Headline0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F2"/>
    <w:rsid w:val="00016387"/>
    <w:rsid w:val="0048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B01759-8C4C-4B93-87C4-1DE4511D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F2"/>
    <w:pPr>
      <w:spacing w:after="280" w:line="300" w:lineRule="exact"/>
      <w:jc w:val="both"/>
    </w:pPr>
    <w:rPr>
      <w:rFonts w:ascii="Arial" w:eastAsia="Times New Roman" w:hAnsi="Arial" w:cs="Times New Roman"/>
      <w:color w:val="595959" w:themeColor="text1" w:themeTint="A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Headline02">
    <w:name w:val="B-Headline_02"/>
    <w:autoRedefine/>
    <w:qFormat/>
    <w:rsid w:val="004827F2"/>
    <w:pPr>
      <w:numPr>
        <w:ilvl w:val="1"/>
        <w:numId w:val="1"/>
      </w:numPr>
      <w:spacing w:before="360" w:after="360" w:line="240" w:lineRule="auto"/>
      <w:ind w:left="709"/>
      <w:contextualSpacing/>
    </w:pPr>
    <w:rPr>
      <w:rFonts w:ascii="Arial" w:eastAsia="MS Mincho" w:hAnsi="Arial" w:cs="Times New Roman"/>
      <w:b/>
      <w:bCs/>
      <w:color w:val="A1C639"/>
      <w:sz w:val="24"/>
      <w:szCs w:val="24"/>
      <w:lang w:eastAsia="de-DE"/>
    </w:rPr>
  </w:style>
  <w:style w:type="paragraph" w:customStyle="1" w:styleId="D-TabellenHeadings-03">
    <w:name w:val="D-Tabellen_Headings-03"/>
    <w:basedOn w:val="Normal"/>
    <w:autoRedefine/>
    <w:qFormat/>
    <w:rsid w:val="004827F2"/>
    <w:pPr>
      <w:spacing w:after="0" w:line="240" w:lineRule="auto"/>
      <w:jc w:val="center"/>
    </w:pPr>
    <w:rPr>
      <w:snapToGrid w:val="0"/>
      <w:color w:val="44546A" w:themeColor="text2"/>
      <w:kern w:val="8"/>
      <w:sz w:val="18"/>
      <w:szCs w:val="18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Trosimova</dc:creator>
  <cp:keywords/>
  <dc:description/>
  <cp:lastModifiedBy>Helena Trosimova</cp:lastModifiedBy>
  <cp:revision>1</cp:revision>
  <dcterms:created xsi:type="dcterms:W3CDTF">2016-12-13T07:29:00Z</dcterms:created>
  <dcterms:modified xsi:type="dcterms:W3CDTF">2016-12-13T07:31:00Z</dcterms:modified>
</cp:coreProperties>
</file>