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B" w:rsidRDefault="00623BC2">
      <w:pPr>
        <w:pStyle w:val="Header"/>
        <w:tabs>
          <w:tab w:val="clear" w:pos="8306"/>
          <w:tab w:val="right" w:pos="8280"/>
        </w:tabs>
        <w:jc w:val="right"/>
      </w:pPr>
      <w:r>
        <w:rPr>
          <w:rFonts w:hAnsi="Times New Roman"/>
          <w:color w:val="222222"/>
        </w:rPr>
        <w:t> </w:t>
      </w:r>
      <w:r>
        <w:t>Apstiprin</w:t>
      </w:r>
      <w:r>
        <w:rPr>
          <w:rFonts w:hAnsi="Times New Roman"/>
        </w:rPr>
        <w:t>ā</w:t>
      </w:r>
      <w:r>
        <w:t>ts</w:t>
      </w:r>
    </w:p>
    <w:p w:rsidR="00A73BFB" w:rsidRDefault="00623BC2">
      <w:pPr>
        <w:pStyle w:val="Header"/>
        <w:tabs>
          <w:tab w:val="clear" w:pos="8306"/>
          <w:tab w:val="right" w:pos="8280"/>
        </w:tabs>
        <w:jc w:val="right"/>
      </w:pPr>
      <w:r>
        <w:rPr>
          <w:lang w:val="sv-SE"/>
        </w:rPr>
        <w:t>AS ,,Daugavpils satiksme</w:t>
      </w:r>
      <w:r>
        <w:rPr>
          <w:rFonts w:hAnsi="Times New Roman"/>
        </w:rPr>
        <w:t>”</w:t>
      </w:r>
    </w:p>
    <w:p w:rsidR="00A73BFB" w:rsidRDefault="00623BC2">
      <w:pPr>
        <w:pStyle w:val="Header"/>
        <w:tabs>
          <w:tab w:val="clear" w:pos="8306"/>
          <w:tab w:val="right" w:pos="8280"/>
        </w:tabs>
        <w:jc w:val="right"/>
      </w:pPr>
      <w:r>
        <w:t>Iepirkuma komisijas s</w:t>
      </w:r>
      <w:r>
        <w:rPr>
          <w:rFonts w:hAnsi="Times New Roman"/>
        </w:rPr>
        <w:t>ē</w:t>
      </w:r>
      <w:r>
        <w:t>d</w:t>
      </w:r>
      <w:r>
        <w:rPr>
          <w:rFonts w:hAnsi="Times New Roman"/>
        </w:rPr>
        <w:t>ē</w:t>
      </w:r>
    </w:p>
    <w:p w:rsidR="00A73BFB" w:rsidRDefault="000F3687">
      <w:pPr>
        <w:pStyle w:val="Header"/>
        <w:tabs>
          <w:tab w:val="clear" w:pos="8306"/>
          <w:tab w:val="right" w:pos="8280"/>
        </w:tabs>
        <w:jc w:val="right"/>
      </w:pPr>
      <w:r>
        <w:rPr>
          <w:lang w:val="pt-PT"/>
        </w:rPr>
        <w:t>2016.gada 11</w:t>
      </w:r>
      <w:r w:rsidR="00623BC2">
        <w:rPr>
          <w:lang w:val="pt-PT"/>
        </w:rPr>
        <w:t>.</w:t>
      </w:r>
      <w:r>
        <w:rPr>
          <w:lang w:val="pt-PT"/>
        </w:rPr>
        <w:t xml:space="preserve"> </w:t>
      </w:r>
      <w:r w:rsidR="00623BC2">
        <w:rPr>
          <w:lang w:val="pt-PT"/>
        </w:rPr>
        <w:t>novembr</w:t>
      </w:r>
      <w:r w:rsidR="00623BC2">
        <w:rPr>
          <w:rFonts w:hAnsi="Times New Roman"/>
          <w:lang w:val="pt-PT"/>
        </w:rPr>
        <w:t>ī</w:t>
      </w:r>
    </w:p>
    <w:p w:rsidR="00A73BFB" w:rsidRDefault="00A73BFB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FB" w:rsidRDefault="00A73BFB">
      <w:pPr>
        <w:pStyle w:val="Header"/>
        <w:tabs>
          <w:tab w:val="clear" w:pos="8306"/>
          <w:tab w:val="right" w:pos="8280"/>
        </w:tabs>
        <w:jc w:val="both"/>
      </w:pPr>
    </w:p>
    <w:p w:rsidR="00A73BFB" w:rsidRDefault="00623BC2">
      <w:pPr>
        <w:pStyle w:val="Header"/>
        <w:tabs>
          <w:tab w:val="clear" w:pos="8306"/>
          <w:tab w:val="right" w:pos="8280"/>
        </w:tabs>
        <w:jc w:val="both"/>
      </w:pPr>
      <w:r>
        <w:rPr>
          <w:b/>
          <w:bCs/>
          <w:lang w:val="pt-PT"/>
        </w:rPr>
        <w:t>Iepirkuma identifik</w:t>
      </w:r>
      <w:proofErr w:type="spellStart"/>
      <w:r>
        <w:rPr>
          <w:rFonts w:hAnsi="Times New Roman"/>
          <w:b/>
          <w:bCs/>
        </w:rPr>
        <w:t>ā</w:t>
      </w:r>
      <w:r>
        <w:rPr>
          <w:b/>
          <w:bCs/>
        </w:rPr>
        <w:t>cijas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r>
        <w:t>.:ASDS</w:t>
      </w:r>
      <w:proofErr w:type="spellEnd"/>
      <w:r>
        <w:t>/2016/71/KF</w:t>
      </w:r>
    </w:p>
    <w:p w:rsidR="00A73BFB" w:rsidRDefault="00623BC2">
      <w:pPr>
        <w:pStyle w:val="Header"/>
        <w:tabs>
          <w:tab w:val="clear" w:pos="8306"/>
          <w:tab w:val="right" w:pos="8280"/>
        </w:tabs>
        <w:jc w:val="both"/>
      </w:pPr>
      <w:r>
        <w:rPr>
          <w:b/>
          <w:bCs/>
        </w:rPr>
        <w:t>Nosaukums:</w:t>
      </w:r>
      <w:r>
        <w:rPr>
          <w:rFonts w:hAnsi="Times New Roman"/>
        </w:rPr>
        <w:t>„</w:t>
      </w:r>
      <w:r>
        <w:rPr>
          <w:lang w:val="sv-SE"/>
        </w:rPr>
        <w:t>Daugavpils pils</w:t>
      </w:r>
      <w:proofErr w:type="spellStart"/>
      <w:r>
        <w:rPr>
          <w:rFonts w:hAnsi="Times New Roman"/>
        </w:rPr>
        <w:t>ē</w:t>
      </w:r>
      <w:r>
        <w:t>tas</w:t>
      </w:r>
      <w:proofErr w:type="spellEnd"/>
      <w:r>
        <w:t xml:space="preserve"> tramvaju l</w:t>
      </w:r>
      <w:r>
        <w:rPr>
          <w:rFonts w:hAnsi="Times New Roman"/>
        </w:rPr>
        <w:t>ī</w:t>
      </w:r>
      <w:r>
        <w:t xml:space="preserve">nijas </w:t>
      </w:r>
      <w:proofErr w:type="spellStart"/>
      <w:r>
        <w:t>p</w:t>
      </w:r>
      <w:r>
        <w:rPr>
          <w:rFonts w:hAnsi="Times New Roman"/>
        </w:rPr>
        <w:t>ā</w:t>
      </w:r>
      <w:r>
        <w:t>rb</w:t>
      </w:r>
      <w:r>
        <w:rPr>
          <w:rFonts w:hAnsi="Times New Roman"/>
        </w:rPr>
        <w:t>ū</w:t>
      </w:r>
      <w:proofErr w:type="spellEnd"/>
      <w:r>
        <w:rPr>
          <w:lang w:val="es-ES_tradnl"/>
        </w:rPr>
        <w:t xml:space="preserve">ve </w:t>
      </w:r>
      <w:proofErr w:type="spellStart"/>
      <w:r>
        <w:rPr>
          <w:lang w:val="es-ES_tradnl"/>
        </w:rPr>
        <w:t>posmos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Vien</w:t>
      </w:r>
      <w:r>
        <w:rPr>
          <w:rFonts w:hAnsi="Times New Roman"/>
        </w:rPr>
        <w:t>ī</w:t>
      </w:r>
      <w:r>
        <w:t>bas</w:t>
      </w:r>
      <w:proofErr w:type="spellEnd"/>
      <w:r>
        <w:t xml:space="preserve"> iela - Stacijas iela, Par</w:t>
      </w:r>
      <w:r>
        <w:rPr>
          <w:rFonts w:hAnsi="Times New Roman"/>
        </w:rPr>
        <w:t>ā</w:t>
      </w:r>
      <w:r>
        <w:t>des iela - Cietoksnis un 18.Novembra un Ventspils ielu krustojum</w:t>
      </w:r>
      <w:r>
        <w:rPr>
          <w:rFonts w:hAnsi="Times New Roman"/>
        </w:rPr>
        <w:t>ā”</w:t>
      </w:r>
    </w:p>
    <w:p w:rsidR="00A73BFB" w:rsidRDefault="00623BC2">
      <w:pPr>
        <w:pStyle w:val="Header"/>
        <w:tabs>
          <w:tab w:val="clear" w:pos="8306"/>
          <w:tab w:val="right" w:pos="8280"/>
        </w:tabs>
        <w:jc w:val="both"/>
      </w:pPr>
      <w:r>
        <w:rPr>
          <w:lang w:val="es-ES_tradnl"/>
        </w:rPr>
        <w:t>A un B da</w:t>
      </w:r>
      <w:proofErr w:type="spellStart"/>
      <w:r>
        <w:rPr>
          <w:rFonts w:hAnsi="Times New Roman"/>
        </w:rPr>
        <w:t>ļ</w:t>
      </w:r>
      <w:r>
        <w:t>a</w:t>
      </w:r>
      <w:proofErr w:type="spellEnd"/>
    </w:p>
    <w:p w:rsidR="00A73BFB" w:rsidRDefault="00A73BFB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BFB" w:rsidRDefault="00623BC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sv-SE"/>
        </w:rPr>
        <w:t>Atbildes Nr.</w:t>
      </w:r>
      <w:r w:rsidR="00BF1D24">
        <w:rPr>
          <w:rFonts w:ascii="Times New Roman"/>
          <w:b/>
          <w:bCs/>
          <w:sz w:val="24"/>
          <w:szCs w:val="24"/>
        </w:rPr>
        <w:t>28</w:t>
      </w:r>
      <w:bookmarkStart w:id="0" w:name="_GoBack"/>
      <w:bookmarkEnd w:id="0"/>
    </w:p>
    <w:p w:rsidR="00A73BFB" w:rsidRDefault="00623BC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uz ieinteres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>to pieg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d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t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 jaut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jumiem</w:t>
      </w:r>
    </w:p>
    <w:p w:rsidR="00BF1D24" w:rsidRDefault="00BF1D24" w:rsidP="00BF1D2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330"/>
        <w:jc w:val="both"/>
        <w:textAlignment w:val="baseline"/>
        <w:rPr>
          <w:i/>
          <w:iCs/>
          <w:color w:val="222222"/>
        </w:rPr>
      </w:pPr>
    </w:p>
    <w:p w:rsidR="00BF1D24" w:rsidRDefault="00BF1D24" w:rsidP="00BF1D2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330"/>
        <w:jc w:val="both"/>
        <w:textAlignment w:val="baseline"/>
        <w:rPr>
          <w:i/>
          <w:iCs/>
          <w:color w:val="222222"/>
        </w:rPr>
      </w:pPr>
    </w:p>
    <w:p w:rsidR="00BF1D24" w:rsidRDefault="00BF1D24" w:rsidP="00BF1D2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330"/>
        <w:jc w:val="both"/>
        <w:textAlignment w:val="baseline"/>
        <w:rPr>
          <w:i/>
          <w:iCs/>
          <w:color w:val="222222"/>
        </w:rPr>
      </w:pPr>
    </w:p>
    <w:p w:rsidR="00A95161" w:rsidRDefault="00A95161" w:rsidP="00A9516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330" w:hanging="330"/>
        <w:jc w:val="both"/>
        <w:textAlignment w:val="baseline"/>
        <w:rPr>
          <w:i/>
          <w:iCs/>
          <w:color w:val="222222"/>
        </w:rPr>
      </w:pPr>
      <w:r>
        <w:rPr>
          <w:i/>
          <w:iCs/>
          <w:color w:val="222222"/>
        </w:rPr>
        <w:t xml:space="preserve">Jautājums 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Lūdzam precizēt vai paredzamo darbu apjomā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ietilpst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past</w:t>
      </w:r>
      <w:r>
        <w:rPr>
          <w:rFonts w:ascii="Times New Roman" w:hAnsi="Times New Roman" w:cs="Times New Roman"/>
          <w:sz w:val="24"/>
          <w:szCs w:val="24"/>
        </w:rPr>
        <w:t>āvīgas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strā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vas t</w:t>
      </w:r>
      <w:proofErr w:type="spellStart"/>
      <w:r>
        <w:rPr>
          <w:rFonts w:ascii="Times New Roman" w:hAnsi="Times New Roman" w:cs="Times New Roman"/>
          <w:sz w:val="24"/>
          <w:szCs w:val="24"/>
        </w:rPr>
        <w:t>īkls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transformatori,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taisngriež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i un p</w:t>
      </w:r>
      <w:r>
        <w:rPr>
          <w:rFonts w:ascii="Times New Roman" w:hAnsi="Times New Roman" w:cs="Times New Roman"/>
          <w:sz w:val="24"/>
          <w:szCs w:val="24"/>
        </w:rPr>
        <w:t xml:space="preserve">ārējais elektrotehniskais aprīkojums saskaņā ar SP-10? Projektā dokumentācijā </w:t>
      </w:r>
      <w:r>
        <w:rPr>
          <w:rFonts w:ascii="Times New Roman" w:hAnsi="Times New Roman" w:cs="Times New Roman"/>
          <w:sz w:val="24"/>
          <w:szCs w:val="24"/>
          <w:lang w:val="nl-NL"/>
        </w:rPr>
        <w:t>ir iek</w:t>
      </w:r>
      <w:r>
        <w:rPr>
          <w:rFonts w:ascii="Times New Roman" w:hAnsi="Times New Roman" w:cs="Times New Roman"/>
          <w:sz w:val="24"/>
          <w:szCs w:val="24"/>
        </w:rPr>
        <w:t xml:space="preserve">ļauta mape “Tehniskā shēma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pieslē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gums no SP10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da-DK"/>
        </w:rPr>
        <w:t>, bet Pas</w:t>
      </w:r>
      <w:proofErr w:type="spellStart"/>
      <w:r>
        <w:rPr>
          <w:rFonts w:ascii="Times New Roman" w:hAnsi="Times New Roman" w:cs="Times New Roman"/>
          <w:sz w:val="24"/>
          <w:szCs w:val="24"/>
        </w:rPr>
        <w:t>ūtītāja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apjomos tā nav. Lūdzam Pasūtītāju skaidrot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raduš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>os situ</w:t>
      </w:r>
      <w:proofErr w:type="spellStart"/>
      <w:r>
        <w:rPr>
          <w:rFonts w:ascii="Times New Roman" w:hAnsi="Times New Roman" w:cs="Times New Roman"/>
          <w:sz w:val="24"/>
          <w:szCs w:val="24"/>
        </w:rPr>
        <w:t>āciju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Atbilde uz 1. jautājumu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color w:val="222222"/>
          <w:sz w:val="24"/>
          <w:szCs w:val="24"/>
        </w:rPr>
        <w:t>Pievienotajai tehniskajai shēmai ir informatīvs raksturs, tā neattiecas un neietilpst  dotajā projektā. Lūgums vadīties pēc darbu apjomiem.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A95161" w:rsidRDefault="00A95161" w:rsidP="00A9516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330" w:hanging="330"/>
        <w:jc w:val="both"/>
        <w:textAlignment w:val="baseline"/>
        <w:rPr>
          <w:i/>
          <w:iCs/>
          <w:color w:val="222222"/>
        </w:rPr>
      </w:pPr>
      <w:r>
        <w:rPr>
          <w:i/>
          <w:iCs/>
          <w:color w:val="222222"/>
        </w:rPr>
        <w:t xml:space="preserve">Jautājums 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Iepirkuma dokument</w:t>
      </w:r>
      <w:proofErr w:type="spellStart"/>
      <w:r>
        <w:rPr>
          <w:rFonts w:ascii="Times New Roman" w:hAnsi="Times New Roman" w:cs="Times New Roman"/>
          <w:sz w:val="24"/>
          <w:szCs w:val="24"/>
        </w:rPr>
        <w:t>ācijā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attiec</w:t>
      </w:r>
      <w:proofErr w:type="spellStart"/>
      <w:r>
        <w:rPr>
          <w:rFonts w:ascii="Times New Roman" w:hAnsi="Times New Roman" w:cs="Times New Roman"/>
          <w:sz w:val="24"/>
          <w:szCs w:val="24"/>
        </w:rPr>
        <w:t>ībā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Finanšu piedāvājuma sagatavošanu ir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norādī</w:t>
      </w:r>
      <w:r>
        <w:rPr>
          <w:rFonts w:ascii="Times New Roman" w:hAnsi="Times New Roman" w:cs="Times New Roman"/>
          <w:sz w:val="24"/>
          <w:szCs w:val="24"/>
          <w:lang w:val="fr-FR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lok</w:t>
      </w:r>
      <w:r>
        <w:rPr>
          <w:rFonts w:ascii="Times New Roman" w:hAnsi="Times New Roman" w:cs="Times New Roman"/>
          <w:sz w:val="24"/>
          <w:szCs w:val="24"/>
        </w:rPr>
        <w:t>ālajām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tāmēm. Lūdzam pasūtītāju precizēt vai kopsavilkums ir jāsagatavo Pretendentam vai to nav nepieciešams iesniegt? 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Atbilde uz 2. jautājumu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Finanšu piedāvājums jāsagatavo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atbilstoš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i Iepirkuma nolikuma 4.5.1. punkt</w:t>
      </w:r>
      <w:r>
        <w:rPr>
          <w:rFonts w:ascii="Times New Roman" w:hAnsi="Times New Roman" w:cs="Times New Roman"/>
          <w:sz w:val="24"/>
          <w:szCs w:val="24"/>
        </w:rPr>
        <w:t>ā noteiktai kārtībai: Finanšu piedāvājumu sagatavo un iesniedz atbilstoši Nolikumam pievienotajām piedāvā</w:t>
      </w:r>
      <w:r>
        <w:rPr>
          <w:rFonts w:ascii="Times New Roman" w:hAnsi="Times New Roman" w:cs="Times New Roman"/>
          <w:sz w:val="24"/>
          <w:szCs w:val="24"/>
          <w:lang w:val="pt-PT"/>
        </w:rPr>
        <w:t>juma finan</w:t>
      </w:r>
      <w:proofErr w:type="spellStart"/>
      <w:r>
        <w:rPr>
          <w:rFonts w:ascii="Times New Roman" w:hAnsi="Times New Roman" w:cs="Times New Roman"/>
          <w:sz w:val="24"/>
          <w:szCs w:val="24"/>
        </w:rPr>
        <w:t>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piedāvā</w:t>
      </w:r>
      <w:r>
        <w:rPr>
          <w:rFonts w:ascii="Times New Roman" w:hAnsi="Times New Roman" w:cs="Times New Roman"/>
          <w:sz w:val="24"/>
          <w:szCs w:val="24"/>
          <w:lang w:val="pt-PT"/>
        </w:rPr>
        <w:t>juma form</w:t>
      </w:r>
      <w:proofErr w:type="spellStart"/>
      <w:r>
        <w:rPr>
          <w:rFonts w:ascii="Times New Roman" w:hAnsi="Times New Roman" w:cs="Times New Roman"/>
          <w:sz w:val="24"/>
          <w:szCs w:val="24"/>
        </w:rPr>
        <w:t>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Lī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gumcenas sadal</w:t>
      </w:r>
      <w:proofErr w:type="spellStart"/>
      <w:r>
        <w:rPr>
          <w:rFonts w:ascii="Times New Roman" w:hAnsi="Times New Roman" w:cs="Times New Roman"/>
          <w:sz w:val="24"/>
          <w:szCs w:val="24"/>
        </w:rPr>
        <w:t>ījums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atbilstoši Veicamo būvdarbu saraksta pozīcijām  - darbu daudzumu sarakstam saskaņā ar Pielikumu Nr.8). </w:t>
      </w:r>
      <w:r>
        <w:rPr>
          <w:rFonts w:ascii="Times New Roman" w:hAnsi="Times New Roman" w:cs="Times New Roman"/>
          <w:sz w:val="24"/>
          <w:szCs w:val="24"/>
          <w:u w:val="single"/>
        </w:rPr>
        <w:t>Finanšu piedāvājumā norāda kopē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s"/>
        </w:rPr>
        <w:t>cenu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par k</w:t>
      </w:r>
      <w:r>
        <w:rPr>
          <w:rFonts w:ascii="Times New Roman" w:hAnsi="Times New Roman" w:cs="Times New Roman"/>
          <w:sz w:val="24"/>
          <w:szCs w:val="24"/>
        </w:rPr>
        <w:t xml:space="preserve">ādu tiks izpildīti </w:t>
      </w:r>
      <w:proofErr w:type="spellStart"/>
      <w:r>
        <w:rPr>
          <w:rFonts w:ascii="Times New Roman" w:hAnsi="Times New Roman" w:cs="Times New Roman"/>
          <w:sz w:val="24"/>
          <w:szCs w:val="24"/>
        </w:rPr>
        <w:t>Bū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>vdarbi, kas nor</w:t>
      </w:r>
      <w:proofErr w:type="spellStart"/>
      <w:r>
        <w:rPr>
          <w:rFonts w:ascii="Times New Roman" w:hAnsi="Times New Roman" w:cs="Times New Roman"/>
          <w:sz w:val="24"/>
          <w:szCs w:val="24"/>
        </w:rPr>
        <w:t>ādīti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Pielikumā Nr.8, visā </w:t>
      </w:r>
      <w:r>
        <w:rPr>
          <w:rFonts w:ascii="Times New Roman" w:hAnsi="Times New Roman" w:cs="Times New Roman"/>
          <w:sz w:val="24"/>
          <w:szCs w:val="24"/>
          <w:lang w:val="pt-PT"/>
        </w:rPr>
        <w:t>iepirkuma l</w:t>
      </w:r>
      <w:r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  <w:lang w:val="pt-PT"/>
        </w:rPr>
        <w:t>guma darb</w:t>
      </w:r>
      <w:proofErr w:type="spellStart"/>
      <w:r>
        <w:rPr>
          <w:rFonts w:ascii="Times New Roman" w:hAnsi="Times New Roman" w:cs="Times New Roman"/>
          <w:sz w:val="24"/>
          <w:szCs w:val="24"/>
        </w:rPr>
        <w:t>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laikā. Līgumcenā ir jā</w:t>
      </w:r>
      <w:r>
        <w:rPr>
          <w:rFonts w:ascii="Times New Roman" w:hAnsi="Times New Roman" w:cs="Times New Roman"/>
          <w:sz w:val="24"/>
          <w:szCs w:val="24"/>
          <w:lang w:val="nl-NL"/>
        </w:rPr>
        <w:t>iek</w:t>
      </w:r>
      <w:r>
        <w:rPr>
          <w:rFonts w:ascii="Times New Roman" w:hAnsi="Times New Roman" w:cs="Times New Roman"/>
          <w:sz w:val="24"/>
          <w:szCs w:val="24"/>
        </w:rPr>
        <w:t xml:space="preserve">ļauj arī 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visas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nodevas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nodok</w:t>
      </w:r>
      <w:r>
        <w:rPr>
          <w:rFonts w:ascii="Times New Roman" w:hAnsi="Times New Roman" w:cs="Times New Roman"/>
          <w:sz w:val="24"/>
          <w:szCs w:val="24"/>
        </w:rPr>
        <w:t>ļi</w:t>
      </w:r>
      <w:proofErr w:type="spellEnd"/>
      <w:r>
        <w:rPr>
          <w:rFonts w:ascii="Times New Roman" w:hAnsi="Times New Roman" w:cs="Times New Roman"/>
          <w:sz w:val="24"/>
          <w:szCs w:val="24"/>
        </w:rPr>
        <w:t>, izņemot PVN.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A95161" w:rsidRDefault="00A95161" w:rsidP="00A9516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330" w:hanging="330"/>
        <w:jc w:val="both"/>
        <w:textAlignment w:val="baseline"/>
      </w:pPr>
      <w:r>
        <w:t> </w:t>
      </w:r>
      <w:r>
        <w:rPr>
          <w:i/>
          <w:iCs/>
          <w:color w:val="222222"/>
        </w:rPr>
        <w:t xml:space="preserve">Jautājums 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Pasūtītā</w:t>
      </w:r>
      <w:r>
        <w:rPr>
          <w:rFonts w:ascii="Times New Roman" w:hAnsi="Times New Roman" w:cs="Times New Roman"/>
          <w:sz w:val="24"/>
          <w:szCs w:val="24"/>
          <w:lang w:val="sv-SE"/>
        </w:rPr>
        <w:t>ja atbild</w:t>
      </w:r>
      <w:r>
        <w:rPr>
          <w:rFonts w:ascii="Times New Roman" w:hAnsi="Times New Roman" w:cs="Times New Roman"/>
          <w:sz w:val="24"/>
          <w:szCs w:val="24"/>
        </w:rPr>
        <w:t xml:space="preserve">ē Nr. 3 uz ieinteresēto piegādātāju jautājumiem 2016.gada 25.oktobrī ir rakstīts: Būvprojektā </w:t>
      </w:r>
      <w:r>
        <w:rPr>
          <w:rFonts w:ascii="Times New Roman" w:hAnsi="Times New Roman" w:cs="Times New Roman"/>
          <w:sz w:val="24"/>
          <w:szCs w:val="24"/>
          <w:lang w:val="sv-SE"/>
        </w:rPr>
        <w:t>visas slie</w:t>
      </w:r>
      <w:proofErr w:type="spellStart"/>
      <w:r>
        <w:rPr>
          <w:rFonts w:ascii="Times New Roman" w:hAnsi="Times New Roman" w:cs="Times New Roman"/>
          <w:sz w:val="24"/>
          <w:szCs w:val="24"/>
        </w:rPr>
        <w:t>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ceļu pārmijas paredzētas izbūvēt uz dzelzsbetona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gropjplātnēm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savukārt, Pasūtītāja precizētajos darbu daudzumu sarakstos ,,A'' un ,,B'' daļai, Darbu apjomu sarakstā Nr.1-12. punktos: 3.10., 3.11. un  Darbu apjomu sarakstā Nr.2-2. punktos: 3.9., 3.10. ir rakstīts – “Sliežu ceļu izbūve uz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antiseptētiem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ozolkoka gulšņiem ar epīru 1680g/km, ieskaitot </w:t>
      </w:r>
      <w:proofErr w:type="spellStart"/>
      <w:r>
        <w:rPr>
          <w:rFonts w:ascii="Times New Roman" w:hAnsi="Times New Roman" w:cs="Times New Roman"/>
          <w:sz w:val="24"/>
          <w:szCs w:val="24"/>
        </w:rPr>
        <w:t>gulšņ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us, sliedes, mont</w:t>
      </w:r>
      <w:proofErr w:type="spellStart"/>
      <w:r>
        <w:rPr>
          <w:rFonts w:ascii="Times New Roman" w:hAnsi="Times New Roman" w:cs="Times New Roman"/>
          <w:sz w:val="24"/>
          <w:szCs w:val="24"/>
        </w:rPr>
        <w:t>āž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as materi</w:t>
      </w:r>
      <w:r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lus un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slie</w:t>
      </w:r>
      <w:r>
        <w:rPr>
          <w:rFonts w:ascii="Times New Roman" w:hAnsi="Times New Roman" w:cs="Times New Roman"/>
          <w:sz w:val="24"/>
          <w:szCs w:val="24"/>
        </w:rPr>
        <w:t>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metināšanu (viens sliežu ceļš)”. Lūdzam pasūtītāju veikt labojumus darbu daudzumu sarakstos ,,A'' un ,,B'' </w:t>
      </w:r>
      <w:proofErr w:type="spellStart"/>
      <w:r>
        <w:rPr>
          <w:rFonts w:ascii="Times New Roman" w:hAnsi="Times New Roman" w:cs="Times New Roman"/>
          <w:sz w:val="24"/>
          <w:szCs w:val="24"/>
        </w:rPr>
        <w:t>daļ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u attiec</w:t>
      </w:r>
      <w:proofErr w:type="spellStart"/>
      <w:r>
        <w:rPr>
          <w:rFonts w:ascii="Times New Roman" w:hAnsi="Times New Roman" w:cs="Times New Roman"/>
          <w:sz w:val="24"/>
          <w:szCs w:val="24"/>
        </w:rPr>
        <w:t>īgajās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pozīcijās.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Atbilde uz 3. jautājumu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Sliežu ceļa izbūve uz dzelzsbetona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gropjplātnēm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seguma plātnēm būvprojektā paredzēta krustojumu zonās, pārbrauktuvēs, pieturvietu zonā u.c., tai skaitā pārmiju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zonā. Posmos starp dzelzsbetona plātnēm, sliežu ceļu, atbilstoši akceptētajam būvprojektam, paredzēts izbūvēt uz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antiseptētiem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ozolkoka gulšņiem. Precīzu dzelzsbetona plātņu novietojumu lūgums skatīt rasējumos SC-1 līdz SC-13 "Vertikālais un horizontālais plānojums".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1" w:rsidRDefault="00A95161" w:rsidP="00A9516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330" w:hanging="330"/>
        <w:jc w:val="both"/>
        <w:textAlignment w:val="baseline"/>
      </w:pPr>
      <w:r>
        <w:t> </w:t>
      </w:r>
      <w:r>
        <w:rPr>
          <w:i/>
          <w:iCs/>
          <w:color w:val="222222"/>
        </w:rPr>
        <w:t xml:space="preserve">Jautājums 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Lūdzam Pasūtītāju precizēt vai konkursa nolikuma punktā 4.2.2. minētā </w:t>
      </w:r>
      <w:r>
        <w:rPr>
          <w:rFonts w:ascii="Times New Roman" w:hAnsi="Times New Roman" w:cs="Times New Roman"/>
          <w:sz w:val="24"/>
          <w:szCs w:val="24"/>
          <w:lang w:val="it-IT"/>
        </w:rPr>
        <w:t>izzi</w:t>
      </w:r>
      <w:r>
        <w:rPr>
          <w:rFonts w:ascii="Times New Roman" w:hAnsi="Times New Roman" w:cs="Times New Roman"/>
          <w:sz w:val="24"/>
          <w:szCs w:val="24"/>
        </w:rPr>
        <w:t>ņ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par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summu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500 000 EUR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</w:t>
      </w:r>
      <w:proofErr w:type="spellStart"/>
      <w:r>
        <w:rPr>
          <w:rFonts w:ascii="Times New Roman" w:hAnsi="Times New Roman" w:cs="Times New Roman"/>
          <w:sz w:val="24"/>
          <w:szCs w:val="24"/>
        </w:rPr>
        <w:t>āiesniedz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katru konkursa daļu (A un B), vai šī summa paredzē</w:t>
      </w:r>
      <w:r>
        <w:rPr>
          <w:rFonts w:ascii="Times New Roman" w:hAnsi="Times New Roman" w:cs="Times New Roman"/>
          <w:sz w:val="24"/>
          <w:szCs w:val="24"/>
          <w:lang w:val="fr-FR"/>
        </w:rPr>
        <w:t>ta par ab</w:t>
      </w:r>
      <w:r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  <w:lang w:val="pt-PT"/>
        </w:rPr>
        <w:t>m iepirkuma da</w:t>
      </w:r>
      <w:proofErr w:type="spellStart"/>
      <w:r>
        <w:rPr>
          <w:rFonts w:ascii="Times New Roman" w:hAnsi="Times New Roman" w:cs="Times New Roman"/>
          <w:sz w:val="24"/>
          <w:szCs w:val="24"/>
        </w:rPr>
        <w:t>ļām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kopā?!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Atbilde uz 4. jautājumu</w:t>
      </w:r>
    </w:p>
    <w:p w:rsidR="00A95161" w:rsidRDefault="00A95161" w:rsidP="00A95161">
      <w:pPr>
        <w:pStyle w:val="Heading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>Iepirkuma nolikuma 4.2.2. punkt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ā </w:t>
      </w: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>noteiktais Kred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ītiestādes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apliecinājums par Pretendentam pieejamiem brīvajiem naudas līdzekļiem vai kredītlīniju ne mazā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ka par EUR 500</w:t>
      </w:r>
      <w:r>
        <w:rPr>
          <w:rFonts w:ascii="Times New Roman" w:hAnsi="Times New Roman" w:cs="Times New Roman"/>
          <w:color w:val="000000"/>
          <w:sz w:val="24"/>
          <w:szCs w:val="24"/>
        </w:rPr>
        <w:t> 000 ir paredzē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ta par ab</w:t>
      </w:r>
      <w:r>
        <w:rPr>
          <w:rFonts w:ascii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>m iepirkuma da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ļām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kopumā.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1" w:rsidRDefault="00A95161" w:rsidP="00A9516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330" w:hanging="330"/>
        <w:jc w:val="both"/>
        <w:textAlignment w:val="baseline"/>
      </w:pPr>
      <w:r>
        <w:t> </w:t>
      </w:r>
      <w:r>
        <w:rPr>
          <w:i/>
          <w:iCs/>
          <w:color w:val="222222"/>
        </w:rPr>
        <w:t>Jautājums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Vai par konkursa nolikuma 4.2.5. punktam atbilstošu dokumentu tiks uzskatīta Pretendenta parakstīta izziņa vai ir nepieciešama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Apdrošināš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>anas sabiedr</w:t>
      </w:r>
      <w:proofErr w:type="spellStart"/>
      <w:r>
        <w:rPr>
          <w:rFonts w:ascii="Times New Roman" w:hAnsi="Times New Roman" w:cs="Times New Roman"/>
          <w:sz w:val="24"/>
          <w:szCs w:val="24"/>
        </w:rPr>
        <w:t>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apliecināta izziņa?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Atbilde uz 5. jautājumu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Fonts w:ascii="Times New Roman" w:hAnsi="Times New Roman" w:cs="Times New Roman"/>
          <w:sz w:val="24"/>
          <w:szCs w:val="24"/>
          <w:lang w:val="pt-PT"/>
        </w:rPr>
        <w:t>Iepirkuma nolikuma 4.2.5.punkt</w:t>
      </w:r>
      <w:r>
        <w:rPr>
          <w:rFonts w:ascii="Times New Roman" w:hAnsi="Times New Roman" w:cs="Times New Roman"/>
          <w:sz w:val="24"/>
          <w:szCs w:val="24"/>
        </w:rPr>
        <w:t xml:space="preserve">ā ir noteikts, ka jāiesniedz </w:t>
      </w:r>
      <w:r>
        <w:rPr>
          <w:rFonts w:ascii="Times New Roman" w:hAnsi="Times New Roman" w:cs="Times New Roman"/>
          <w:sz w:val="24"/>
          <w:szCs w:val="24"/>
          <w:u w:val="single"/>
        </w:rPr>
        <w:t>Pretendenta apliecināta izziņa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ka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Pretendents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  <w:lang w:val="nl-NL"/>
        </w:rPr>
        <w:t>c iepirkuma l</w:t>
      </w:r>
      <w:r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  <w:lang w:val="pt-PT"/>
        </w:rPr>
        <w:t>guma parakst</w:t>
      </w:r>
      <w:proofErr w:type="spellStart"/>
      <w:r>
        <w:rPr>
          <w:rFonts w:ascii="Times New Roman" w:hAnsi="Times New Roman" w:cs="Times New Roman"/>
          <w:sz w:val="24"/>
          <w:szCs w:val="24"/>
        </w:rPr>
        <w:t>īšanas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pirms Būvdarbu </w:t>
      </w:r>
      <w:proofErr w:type="spellStart"/>
      <w:r>
        <w:rPr>
          <w:rFonts w:ascii="Times New Roman" w:hAnsi="Times New Roman" w:cs="Times New Roman"/>
          <w:sz w:val="24"/>
          <w:szCs w:val="24"/>
        </w:rPr>
        <w:t>sākš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anas datuma veiks b</w:t>
      </w:r>
      <w:proofErr w:type="spellStart"/>
      <w:r>
        <w:rPr>
          <w:rFonts w:ascii="Times New Roman" w:hAnsi="Times New Roman" w:cs="Times New Roman"/>
          <w:sz w:val="24"/>
          <w:szCs w:val="24"/>
        </w:rPr>
        <w:t>ūvobjekta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būvniecī</w:t>
      </w:r>
      <w:r>
        <w:rPr>
          <w:rFonts w:ascii="Times New Roman" w:hAnsi="Times New Roman" w:cs="Times New Roman"/>
          <w:sz w:val="24"/>
          <w:szCs w:val="24"/>
          <w:lang w:val="es"/>
        </w:rPr>
        <w:t>bas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mont</w:t>
      </w:r>
      <w:r>
        <w:rPr>
          <w:rFonts w:ascii="Times New Roman" w:hAnsi="Times New Roman" w:cs="Times New Roman"/>
          <w:sz w:val="24"/>
          <w:szCs w:val="24"/>
        </w:rPr>
        <w:t>āžas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darbu visu risku apdrošināšanu piedāvājuma </w:t>
      </w:r>
      <w:proofErr w:type="spellStart"/>
      <w:r>
        <w:rPr>
          <w:rFonts w:ascii="Times New Roman" w:hAnsi="Times New Roman" w:cs="Times New Roman"/>
          <w:sz w:val="24"/>
          <w:szCs w:val="24"/>
        </w:rPr>
        <w:t>lī</w:t>
      </w:r>
      <w:r>
        <w:rPr>
          <w:rFonts w:ascii="Times New Roman" w:hAnsi="Times New Roman" w:cs="Times New Roman"/>
          <w:sz w:val="24"/>
          <w:szCs w:val="24"/>
          <w:lang w:val="es"/>
        </w:rPr>
        <w:t>gumcenas</w:t>
      </w:r>
      <w:proofErr w:type="spellEnd"/>
      <w:r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"/>
        </w:rPr>
        <w:t>apm</w:t>
      </w:r>
      <w:proofErr w:type="spellEnd"/>
      <w:r>
        <w:rPr>
          <w:rFonts w:ascii="Times New Roman" w:hAnsi="Times New Roman" w:cs="Times New Roman"/>
          <w:sz w:val="24"/>
          <w:szCs w:val="24"/>
        </w:rPr>
        <w:t>ērā, kā arī vispārējās civiltiesiskā</w:t>
      </w:r>
      <w:r>
        <w:rPr>
          <w:rFonts w:ascii="Times New Roman" w:hAnsi="Times New Roman" w:cs="Times New Roman"/>
          <w:sz w:val="24"/>
          <w:szCs w:val="24"/>
          <w:lang w:val="sv-SE"/>
        </w:rPr>
        <w:t>s atbild</w:t>
      </w:r>
      <w:r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bas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apdro</w:t>
      </w:r>
      <w:r>
        <w:rPr>
          <w:rFonts w:ascii="Times New Roman" w:hAnsi="Times New Roman" w:cs="Times New Roman"/>
          <w:sz w:val="24"/>
          <w:szCs w:val="24"/>
        </w:rPr>
        <w:t>šināšanu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10 % (desmit procentu) apmērā </w:t>
      </w:r>
      <w:r>
        <w:rPr>
          <w:rFonts w:ascii="Times New Roman" w:hAnsi="Times New Roman" w:cs="Times New Roman"/>
          <w:sz w:val="24"/>
          <w:szCs w:val="24"/>
          <w:lang w:val="it-IT"/>
        </w:rPr>
        <w:t>no pied</w:t>
      </w:r>
      <w:proofErr w:type="spellStart"/>
      <w:r>
        <w:rPr>
          <w:rFonts w:ascii="Times New Roman" w:hAnsi="Times New Roman" w:cs="Times New Roman"/>
          <w:sz w:val="24"/>
          <w:szCs w:val="24"/>
        </w:rPr>
        <w:t>āvājuma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lī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>gumcenas.</w:t>
      </w:r>
    </w:p>
    <w:p w:rsidR="00A95161" w:rsidRDefault="00A95161" w:rsidP="00A9516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autoSpaceDN w:val="0"/>
        <w:spacing w:after="0" w:line="240" w:lineRule="auto"/>
        <w:ind w:left="330" w:hanging="330"/>
        <w:jc w:val="both"/>
        <w:textAlignment w:val="baseline"/>
      </w:pPr>
      <w:r>
        <w:t> </w:t>
      </w:r>
      <w:r>
        <w:rPr>
          <w:i/>
          <w:iCs/>
          <w:color w:val="222222"/>
        </w:rPr>
        <w:t>Jautājums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Vai pēc konkursa nolikuma 3.3.4. punkta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nosacī</w:t>
      </w:r>
      <w:r>
        <w:rPr>
          <w:rFonts w:ascii="Times New Roman" w:hAnsi="Times New Roman" w:cs="Times New Roman"/>
          <w:sz w:val="24"/>
          <w:szCs w:val="24"/>
          <w:lang w:val="fr-FR"/>
        </w:rPr>
        <w:t>juma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darbu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realiz</w:t>
      </w:r>
      <w:r>
        <w:rPr>
          <w:rFonts w:ascii="Times New Roman" w:hAnsi="Times New Roman" w:cs="Times New Roman"/>
          <w:sz w:val="24"/>
          <w:szCs w:val="24"/>
        </w:rPr>
        <w:t>āciju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pilsē</w:t>
      </w:r>
      <w:r>
        <w:rPr>
          <w:rFonts w:ascii="Times New Roman" w:hAnsi="Times New Roman" w:cs="Times New Roman"/>
          <w:sz w:val="24"/>
          <w:szCs w:val="24"/>
          <w:lang w:val="fr-FR"/>
        </w:rPr>
        <w:t>tvides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apst</w:t>
      </w:r>
      <w:r>
        <w:rPr>
          <w:rFonts w:ascii="Times New Roman" w:hAnsi="Times New Roman" w:cs="Times New Roman"/>
          <w:sz w:val="24"/>
          <w:szCs w:val="24"/>
        </w:rPr>
        <w:t>ākļ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os, par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atbilsto</w:t>
      </w:r>
      <w:proofErr w:type="spellEnd"/>
      <w:r>
        <w:rPr>
          <w:rFonts w:ascii="Times New Roman" w:hAnsi="Times New Roman" w:cs="Times New Roman"/>
          <w:sz w:val="24"/>
          <w:szCs w:val="24"/>
        </w:rPr>
        <w:t>šiem tiks uzskatīti projekti, kas veikti apdzīvotās vietās ar ciemu un pagastu statusu?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Atbilde uz 6. jautājumu</w:t>
      </w:r>
    </w:p>
    <w:p w:rsidR="00A95161" w:rsidRDefault="00A95161" w:rsidP="00A951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Tā kā transporta vai </w:t>
      </w:r>
      <w:proofErr w:type="spellStart"/>
      <w:r>
        <w:rPr>
          <w:rFonts w:ascii="Times New Roman" w:hAnsi="Times New Roman" w:cs="Times New Roman"/>
          <w:sz w:val="24"/>
          <w:szCs w:val="24"/>
        </w:rPr>
        <w:t>inž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eniert</w:t>
      </w:r>
      <w:proofErr w:type="spellStart"/>
      <w:r>
        <w:rPr>
          <w:rFonts w:ascii="Times New Roman" w:hAnsi="Times New Roman" w:cs="Times New Roman"/>
          <w:sz w:val="24"/>
          <w:szCs w:val="24"/>
        </w:rPr>
        <w:t>īklu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būvniecība pilsētvidē ir komplicētāka nekā lauku apvidū (apbūves, iedzīvotā</w:t>
      </w:r>
      <w:r>
        <w:rPr>
          <w:rFonts w:ascii="Times New Roman" w:hAnsi="Times New Roman" w:cs="Times New Roman"/>
          <w:sz w:val="24"/>
          <w:szCs w:val="24"/>
          <w:lang w:val="it-IT"/>
        </w:rPr>
        <w:t>ju, transporta un eso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  <w:lang w:val="it-IT"/>
        </w:rPr>
        <w:t>o in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  <w:lang w:val="de-DE"/>
        </w:rPr>
        <w:t>eniert</w:t>
      </w:r>
      <w:proofErr w:type="spellStart"/>
      <w:r>
        <w:rPr>
          <w:rFonts w:ascii="Times New Roman" w:hAnsi="Times New Roman" w:cs="Times New Roman"/>
          <w:sz w:val="24"/>
          <w:szCs w:val="24"/>
        </w:rPr>
        <w:t>īklu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transporta tīklu koncentrācijas dēļ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), par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pils</w:t>
      </w:r>
      <w:r>
        <w:rPr>
          <w:rFonts w:ascii="Times New Roman" w:hAnsi="Times New Roman" w:cs="Times New Roman"/>
          <w:sz w:val="24"/>
          <w:szCs w:val="24"/>
        </w:rPr>
        <w:t>ētvidi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tiek uzskatītas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apdzī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votas vietas, kas </w:t>
      </w:r>
      <w:r>
        <w:rPr>
          <w:rFonts w:ascii="Times New Roman" w:hAnsi="Times New Roman" w:cs="Times New Roman"/>
          <w:sz w:val="24"/>
          <w:szCs w:val="24"/>
          <w:u w:val="single"/>
        </w:rPr>
        <w:t>kā pilsētas</w:t>
      </w:r>
      <w:r>
        <w:rPr>
          <w:rFonts w:ascii="Times New Roman" w:hAnsi="Times New Roman" w:cs="Times New Roman"/>
          <w:sz w:val="24"/>
          <w:szCs w:val="24"/>
        </w:rPr>
        <w:t xml:space="preserve"> ir definē</w:t>
      </w:r>
      <w:r>
        <w:rPr>
          <w:rFonts w:ascii="Times New Roman" w:hAnsi="Times New Roman" w:cs="Times New Roman"/>
          <w:sz w:val="24"/>
          <w:szCs w:val="24"/>
          <w:lang w:val="pt-PT"/>
        </w:rPr>
        <w:t>tas Administrat</w:t>
      </w:r>
      <w:proofErr w:type="spellStart"/>
      <w:r>
        <w:rPr>
          <w:rFonts w:ascii="Times New Roman" w:hAnsi="Times New Roman" w:cs="Times New Roman"/>
          <w:sz w:val="24"/>
          <w:szCs w:val="24"/>
        </w:rPr>
        <w:t>īvo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teritoriju un apdzīvoto vietu likumā.</w:t>
      </w:r>
    </w:p>
    <w:p w:rsidR="00A73BFB" w:rsidRDefault="00A73BFB" w:rsidP="00A95161">
      <w:pPr>
        <w:pStyle w:val="ListParagraph"/>
        <w:ind w:left="860" w:hanging="718"/>
        <w:jc w:val="both"/>
      </w:pPr>
    </w:p>
    <w:sectPr w:rsidR="00A73BFB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C2" w:rsidRDefault="00623BC2">
      <w:r>
        <w:separator/>
      </w:r>
    </w:p>
  </w:endnote>
  <w:endnote w:type="continuationSeparator" w:id="0">
    <w:p w:rsidR="00623BC2" w:rsidRDefault="0062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FB" w:rsidRDefault="00A73BF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C2" w:rsidRDefault="00623BC2">
      <w:r>
        <w:separator/>
      </w:r>
    </w:p>
  </w:footnote>
  <w:footnote w:type="continuationSeparator" w:id="0">
    <w:p w:rsidR="00623BC2" w:rsidRDefault="0062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FB" w:rsidRDefault="00A73BF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7AD"/>
    <w:multiLevelType w:val="multilevel"/>
    <w:tmpl w:val="0C9C200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i/>
        <w:iCs/>
        <w:color w:val="222222"/>
        <w:position w:val="0"/>
        <w:sz w:val="24"/>
        <w:szCs w:val="24"/>
        <w:u w:color="2222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i/>
        <w:iCs/>
        <w:color w:val="222222"/>
        <w:position w:val="0"/>
        <w:sz w:val="24"/>
        <w:szCs w:val="24"/>
        <w:u w:color="2222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i/>
        <w:iCs/>
        <w:color w:val="222222"/>
        <w:position w:val="0"/>
        <w:sz w:val="24"/>
        <w:szCs w:val="24"/>
        <w:u w:color="222222"/>
      </w:rPr>
    </w:lvl>
  </w:abstractNum>
  <w:abstractNum w:abstractNumId="1">
    <w:nsid w:val="43D90E94"/>
    <w:multiLevelType w:val="multilevel"/>
    <w:tmpl w:val="D220ACB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5C4A5050"/>
    <w:multiLevelType w:val="multilevel"/>
    <w:tmpl w:val="B13C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i/>
        <w:iCs/>
        <w:color w:val="222222"/>
        <w:position w:val="0"/>
        <w:sz w:val="24"/>
        <w:szCs w:val="24"/>
        <w:u w:color="2222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i/>
        <w:iCs/>
        <w:color w:val="222222"/>
        <w:position w:val="0"/>
        <w:sz w:val="24"/>
        <w:szCs w:val="24"/>
        <w:u w:color="2222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  <w:iCs/>
        <w:color w:val="222222"/>
        <w:position w:val="0"/>
        <w:sz w:val="24"/>
        <w:szCs w:val="24"/>
        <w:u w:color="222222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i/>
        <w:iCs/>
        <w:color w:val="222222"/>
        <w:position w:val="0"/>
        <w:sz w:val="24"/>
        <w:szCs w:val="24"/>
        <w:u w:color="2222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FB"/>
    <w:rsid w:val="000F3687"/>
    <w:rsid w:val="00614E28"/>
    <w:rsid w:val="00623BC2"/>
    <w:rsid w:val="00A73BFB"/>
    <w:rsid w:val="00A95161"/>
    <w:rsid w:val="00B225AA"/>
    <w:rsid w:val="00B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next w:val="Heading1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next w:val="Heading1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2798</Words>
  <Characters>1596</Characters>
  <Application>Microsoft Office Word</Application>
  <DocSecurity>0</DocSecurity>
  <Lines>13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Valerijs Šops</dc:creator>
  <cp:lastModifiedBy>Tatjana Kraševska</cp:lastModifiedBy>
  <cp:revision>6</cp:revision>
  <dcterms:created xsi:type="dcterms:W3CDTF">2016-11-11T07:19:00Z</dcterms:created>
  <dcterms:modified xsi:type="dcterms:W3CDTF">2016-11-11T10:50:00Z</dcterms:modified>
</cp:coreProperties>
</file>