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83E" w:rsidRPr="00A21D70" w:rsidRDefault="00BA483E" w:rsidP="00BA483E">
      <w:pPr>
        <w:jc w:val="center"/>
      </w:pPr>
      <w:r w:rsidRPr="00A21D70">
        <w:t>Daugavpils pilsētas domes iepirkumu komisija</w:t>
      </w:r>
    </w:p>
    <w:p w:rsidR="00BA483E" w:rsidRPr="00A21D70" w:rsidRDefault="00BA483E" w:rsidP="00BA483E">
      <w:pPr>
        <w:jc w:val="center"/>
        <w:rPr>
          <w:b/>
          <w:bCs/>
        </w:rPr>
      </w:pPr>
      <w:r w:rsidRPr="00A21D70">
        <w:rPr>
          <w:b/>
          <w:bCs/>
        </w:rPr>
        <w:t>“</w:t>
      </w:r>
      <w:r w:rsidR="00C106AF" w:rsidRPr="00C106AF">
        <w:rPr>
          <w:b/>
          <w:bCs/>
        </w:rPr>
        <w:t>Būvdarbu veikšana Eiropas Savienības Kohēzijas fonda projekta “Ūdensapgādes un kanalizācijas sistēmas attīstība Judovkas rajonā, Daugavpilī” ietvaros (SAM 5.3.1.)”</w:t>
      </w:r>
      <w:r w:rsidR="006178C5" w:rsidRPr="00A21D70">
        <w:rPr>
          <w:b/>
          <w:bCs/>
        </w:rPr>
        <w:t>”</w:t>
      </w:r>
    </w:p>
    <w:p w:rsidR="00BA483E" w:rsidRPr="00A21D70" w:rsidRDefault="00BA483E" w:rsidP="00BA483E">
      <w:pPr>
        <w:jc w:val="center"/>
      </w:pPr>
      <w:r w:rsidRPr="00A21D70">
        <w:t>identifikācijas numurs DPD 201</w:t>
      </w:r>
      <w:r w:rsidR="006178C5" w:rsidRPr="00A21D70">
        <w:t>8</w:t>
      </w:r>
      <w:r w:rsidRPr="00A21D70">
        <w:t>/</w:t>
      </w:r>
      <w:r w:rsidR="00C106AF">
        <w:t>63</w:t>
      </w:r>
    </w:p>
    <w:p w:rsidR="00BA483E" w:rsidRPr="00A21D70" w:rsidRDefault="00BA483E" w:rsidP="00BA483E">
      <w:pPr>
        <w:rPr>
          <w:i/>
        </w:rPr>
      </w:pPr>
    </w:p>
    <w:p w:rsidR="00BA483E" w:rsidRPr="00A21D70" w:rsidRDefault="00BA483E" w:rsidP="00BA483E">
      <w:pPr>
        <w:jc w:val="center"/>
        <w:rPr>
          <w:b/>
          <w:caps/>
        </w:rPr>
      </w:pPr>
      <w:r w:rsidRPr="00A21D70">
        <w:rPr>
          <w:b/>
          <w:caps/>
        </w:rPr>
        <w:t>Atbildes</w:t>
      </w:r>
    </w:p>
    <w:p w:rsidR="00BA483E" w:rsidRPr="00A21D70" w:rsidRDefault="00BA483E" w:rsidP="00BA483E">
      <w:pPr>
        <w:jc w:val="center"/>
        <w:rPr>
          <w:caps/>
        </w:rPr>
      </w:pPr>
      <w:r w:rsidRPr="00A21D70">
        <w:rPr>
          <w:caps/>
        </w:rPr>
        <w:t>Uz piegĀdātāju jautājumiem</w:t>
      </w:r>
    </w:p>
    <w:p w:rsidR="00BA483E" w:rsidRPr="00A21D70" w:rsidRDefault="00C03B96" w:rsidP="00BA483E">
      <w:pPr>
        <w:jc w:val="center"/>
        <w:rPr>
          <w:caps/>
        </w:rPr>
      </w:pPr>
      <w:r>
        <w:rPr>
          <w:b/>
          <w:caps/>
        </w:rPr>
        <w:t>Nr.</w:t>
      </w:r>
      <w:r w:rsidR="00DF3375">
        <w:rPr>
          <w:b/>
          <w:caps/>
        </w:rPr>
        <w:t>3</w:t>
      </w:r>
    </w:p>
    <w:p w:rsidR="00B260E3" w:rsidRPr="00B260E3" w:rsidRDefault="00B260E3" w:rsidP="00B260E3">
      <w:pPr>
        <w:widowControl w:val="0"/>
        <w:overflowPunct w:val="0"/>
        <w:autoSpaceDE w:val="0"/>
        <w:autoSpaceDN w:val="0"/>
        <w:adjustRightInd w:val="0"/>
        <w:rPr>
          <w:bCs/>
          <w:i/>
          <w:u w:val="single"/>
        </w:rPr>
      </w:pPr>
      <w:r w:rsidRPr="00B260E3">
        <w:rPr>
          <w:bCs/>
          <w:i/>
          <w:u w:val="single"/>
        </w:rPr>
        <w:t>1.jautājums</w:t>
      </w:r>
    </w:p>
    <w:p w:rsidR="00B260E3" w:rsidRPr="00B260E3" w:rsidRDefault="00756BF0" w:rsidP="00B260E3">
      <w:pPr>
        <w:overflowPunct w:val="0"/>
        <w:autoSpaceDE w:val="0"/>
        <w:autoSpaceDN w:val="0"/>
        <w:adjustRightInd w:val="0"/>
        <w:jc w:val="both"/>
        <w:rPr>
          <w:b/>
          <w:bCs/>
        </w:rPr>
      </w:pPr>
      <w:r w:rsidRPr="00756BF0">
        <w:rPr>
          <w:b/>
          <w:bCs/>
          <w:noProof/>
          <w:lang w:val="en-US"/>
        </w:rPr>
        <w:drawing>
          <wp:inline distT="0" distB="0" distL="0" distR="0">
            <wp:extent cx="5943600" cy="504464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contrast="12000"/>
                      <a:extLst>
                        <a:ext uri="{28A0092B-C50C-407E-A947-70E740481C1C}">
                          <a14:useLocalDpi xmlns:a14="http://schemas.microsoft.com/office/drawing/2010/main" val="0"/>
                        </a:ext>
                      </a:extLst>
                    </a:blip>
                    <a:srcRect/>
                    <a:stretch>
                      <a:fillRect/>
                    </a:stretch>
                  </pic:blipFill>
                  <pic:spPr bwMode="auto">
                    <a:xfrm>
                      <a:off x="0" y="0"/>
                      <a:ext cx="5943600" cy="5044641"/>
                    </a:xfrm>
                    <a:prstGeom prst="rect">
                      <a:avLst/>
                    </a:prstGeom>
                    <a:noFill/>
                    <a:ln>
                      <a:noFill/>
                    </a:ln>
                  </pic:spPr>
                </pic:pic>
              </a:graphicData>
            </a:graphic>
          </wp:inline>
        </w:drawing>
      </w:r>
    </w:p>
    <w:p w:rsidR="00756BF0" w:rsidRDefault="00756BF0" w:rsidP="00B260E3">
      <w:pPr>
        <w:overflowPunct w:val="0"/>
        <w:autoSpaceDE w:val="0"/>
        <w:autoSpaceDN w:val="0"/>
        <w:adjustRightInd w:val="0"/>
        <w:jc w:val="both"/>
        <w:rPr>
          <w:b/>
          <w:bCs/>
        </w:rPr>
      </w:pPr>
      <w:r w:rsidRPr="00756BF0">
        <w:rPr>
          <w:b/>
          <w:bCs/>
          <w:noProof/>
          <w:lang w:val="en-US"/>
        </w:rPr>
        <w:drawing>
          <wp:inline distT="0" distB="0" distL="0" distR="0">
            <wp:extent cx="5943600" cy="15820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contrast="10000"/>
                      <a:extLst>
                        <a:ext uri="{28A0092B-C50C-407E-A947-70E740481C1C}">
                          <a14:useLocalDpi xmlns:a14="http://schemas.microsoft.com/office/drawing/2010/main" val="0"/>
                        </a:ext>
                      </a:extLst>
                    </a:blip>
                    <a:srcRect/>
                    <a:stretch>
                      <a:fillRect/>
                    </a:stretch>
                  </pic:blipFill>
                  <pic:spPr bwMode="auto">
                    <a:xfrm>
                      <a:off x="0" y="0"/>
                      <a:ext cx="5943600" cy="1582068"/>
                    </a:xfrm>
                    <a:prstGeom prst="rect">
                      <a:avLst/>
                    </a:prstGeom>
                    <a:noFill/>
                    <a:ln>
                      <a:noFill/>
                    </a:ln>
                  </pic:spPr>
                </pic:pic>
              </a:graphicData>
            </a:graphic>
          </wp:inline>
        </w:drawing>
      </w:r>
    </w:p>
    <w:p w:rsidR="00756BF0" w:rsidRDefault="00756BF0" w:rsidP="00B260E3">
      <w:pPr>
        <w:overflowPunct w:val="0"/>
        <w:autoSpaceDE w:val="0"/>
        <w:autoSpaceDN w:val="0"/>
        <w:adjustRightInd w:val="0"/>
        <w:jc w:val="both"/>
        <w:rPr>
          <w:b/>
          <w:bCs/>
        </w:rPr>
      </w:pPr>
      <w:r w:rsidRPr="00756BF0">
        <w:rPr>
          <w:b/>
          <w:bCs/>
          <w:noProof/>
          <w:lang w:val="en-US"/>
        </w:rPr>
        <w:lastRenderedPageBreak/>
        <w:drawing>
          <wp:inline distT="0" distB="0" distL="0" distR="0">
            <wp:extent cx="5943600" cy="74572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lum contrast="12000"/>
                      <a:extLst>
                        <a:ext uri="{28A0092B-C50C-407E-A947-70E740481C1C}">
                          <a14:useLocalDpi xmlns:a14="http://schemas.microsoft.com/office/drawing/2010/main" val="0"/>
                        </a:ext>
                      </a:extLst>
                    </a:blip>
                    <a:srcRect/>
                    <a:stretch>
                      <a:fillRect/>
                    </a:stretch>
                  </pic:blipFill>
                  <pic:spPr bwMode="auto">
                    <a:xfrm>
                      <a:off x="0" y="0"/>
                      <a:ext cx="5943600" cy="7457260"/>
                    </a:xfrm>
                    <a:prstGeom prst="rect">
                      <a:avLst/>
                    </a:prstGeom>
                    <a:noFill/>
                    <a:ln>
                      <a:noFill/>
                    </a:ln>
                  </pic:spPr>
                </pic:pic>
              </a:graphicData>
            </a:graphic>
          </wp:inline>
        </w:drawing>
      </w:r>
    </w:p>
    <w:p w:rsidR="00756BF0" w:rsidRDefault="00756BF0" w:rsidP="00B260E3">
      <w:pPr>
        <w:overflowPunct w:val="0"/>
        <w:autoSpaceDE w:val="0"/>
        <w:autoSpaceDN w:val="0"/>
        <w:adjustRightInd w:val="0"/>
        <w:jc w:val="both"/>
        <w:rPr>
          <w:b/>
          <w:bCs/>
        </w:rPr>
      </w:pPr>
    </w:p>
    <w:p w:rsidR="00756BF0" w:rsidRDefault="00756BF0" w:rsidP="00B260E3">
      <w:pPr>
        <w:overflowPunct w:val="0"/>
        <w:autoSpaceDE w:val="0"/>
        <w:autoSpaceDN w:val="0"/>
        <w:adjustRightInd w:val="0"/>
        <w:jc w:val="both"/>
        <w:rPr>
          <w:b/>
          <w:bCs/>
        </w:rPr>
      </w:pPr>
    </w:p>
    <w:p w:rsidR="00756BF0" w:rsidRDefault="00756BF0" w:rsidP="00B260E3">
      <w:pPr>
        <w:overflowPunct w:val="0"/>
        <w:autoSpaceDE w:val="0"/>
        <w:autoSpaceDN w:val="0"/>
        <w:adjustRightInd w:val="0"/>
        <w:jc w:val="both"/>
        <w:rPr>
          <w:b/>
          <w:bCs/>
        </w:rPr>
      </w:pPr>
    </w:p>
    <w:p w:rsidR="00756BF0" w:rsidRDefault="00756BF0" w:rsidP="00B260E3">
      <w:pPr>
        <w:overflowPunct w:val="0"/>
        <w:autoSpaceDE w:val="0"/>
        <w:autoSpaceDN w:val="0"/>
        <w:adjustRightInd w:val="0"/>
        <w:jc w:val="both"/>
        <w:rPr>
          <w:b/>
          <w:bCs/>
        </w:rPr>
      </w:pPr>
    </w:p>
    <w:p w:rsidR="00756BF0" w:rsidRDefault="00756BF0" w:rsidP="00B260E3">
      <w:pPr>
        <w:overflowPunct w:val="0"/>
        <w:autoSpaceDE w:val="0"/>
        <w:autoSpaceDN w:val="0"/>
        <w:adjustRightInd w:val="0"/>
        <w:jc w:val="both"/>
        <w:rPr>
          <w:b/>
          <w:bCs/>
        </w:rPr>
      </w:pPr>
      <w:r w:rsidRPr="00756BF0">
        <w:rPr>
          <w:b/>
          <w:bCs/>
          <w:noProof/>
          <w:lang w:val="en-US"/>
        </w:rPr>
        <w:lastRenderedPageBreak/>
        <w:drawing>
          <wp:inline distT="0" distB="0" distL="0" distR="0">
            <wp:extent cx="5943600" cy="2565437"/>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lum contrast="9000"/>
                      <a:extLst>
                        <a:ext uri="{28A0092B-C50C-407E-A947-70E740481C1C}">
                          <a14:useLocalDpi xmlns:a14="http://schemas.microsoft.com/office/drawing/2010/main" val="0"/>
                        </a:ext>
                      </a:extLst>
                    </a:blip>
                    <a:srcRect/>
                    <a:stretch>
                      <a:fillRect/>
                    </a:stretch>
                  </pic:blipFill>
                  <pic:spPr bwMode="auto">
                    <a:xfrm>
                      <a:off x="0" y="0"/>
                      <a:ext cx="5943600" cy="2565437"/>
                    </a:xfrm>
                    <a:prstGeom prst="rect">
                      <a:avLst/>
                    </a:prstGeom>
                    <a:noFill/>
                    <a:ln>
                      <a:noFill/>
                    </a:ln>
                  </pic:spPr>
                </pic:pic>
              </a:graphicData>
            </a:graphic>
          </wp:inline>
        </w:drawing>
      </w:r>
    </w:p>
    <w:p w:rsidR="00B260E3" w:rsidRPr="00CF21FC" w:rsidRDefault="00B260E3" w:rsidP="00B260E3">
      <w:pPr>
        <w:overflowPunct w:val="0"/>
        <w:autoSpaceDE w:val="0"/>
        <w:autoSpaceDN w:val="0"/>
        <w:adjustRightInd w:val="0"/>
        <w:jc w:val="both"/>
        <w:rPr>
          <w:b/>
          <w:bCs/>
        </w:rPr>
      </w:pPr>
      <w:r w:rsidRPr="00CF21FC">
        <w:rPr>
          <w:b/>
          <w:bCs/>
        </w:rPr>
        <w:t>1.Atbilde</w:t>
      </w:r>
    </w:p>
    <w:p w:rsidR="00756BF0" w:rsidRDefault="00756BF0" w:rsidP="00B260E3">
      <w:pPr>
        <w:overflowPunct w:val="0"/>
        <w:autoSpaceDE w:val="0"/>
        <w:autoSpaceDN w:val="0"/>
        <w:adjustRightInd w:val="0"/>
        <w:jc w:val="both"/>
        <w:rPr>
          <w:color w:val="000000"/>
        </w:rPr>
      </w:pPr>
      <w:r>
        <w:rPr>
          <w:color w:val="000000"/>
        </w:rPr>
        <w:t>Saskaņā ar konkursa nolikuma 15.6. un 15.14.punktu prasībām, pretendentam un atbildīgajām būvdarbu vadītājam p</w:t>
      </w:r>
      <w:r w:rsidRPr="00756BF0">
        <w:rPr>
          <w:color w:val="000000"/>
        </w:rPr>
        <w:t xml:space="preserve">iecos iepriekšējos gados (2013., 2014., 2015., 2016., 2017. un 2018. gads līdz piedāvājumu iesniegšanai) </w:t>
      </w:r>
      <w:r>
        <w:rPr>
          <w:color w:val="000000"/>
        </w:rPr>
        <w:t>jābūt pieredzei vismaz vienā līgumā</w:t>
      </w:r>
      <w:r w:rsidRPr="00756BF0">
        <w:rPr>
          <w:color w:val="000000"/>
        </w:rPr>
        <w:t>, kura ietvaros izbūvē</w:t>
      </w:r>
      <w:r w:rsidR="00E72F63">
        <w:rPr>
          <w:color w:val="000000"/>
        </w:rPr>
        <w:t>ts vismaz viens</w:t>
      </w:r>
      <w:r w:rsidRPr="00756BF0">
        <w:rPr>
          <w:color w:val="000000"/>
        </w:rPr>
        <w:t xml:space="preserve"> dīkeri</w:t>
      </w:r>
      <w:r w:rsidR="00E72F63">
        <w:rPr>
          <w:color w:val="000000"/>
        </w:rPr>
        <w:t>s</w:t>
      </w:r>
      <w:r w:rsidRPr="00756BF0">
        <w:rPr>
          <w:color w:val="000000"/>
        </w:rPr>
        <w:t xml:space="preserve">  ar garumu vismaz 100 m</w:t>
      </w:r>
      <w:r w:rsidR="00E72F63">
        <w:rPr>
          <w:color w:val="000000"/>
        </w:rPr>
        <w:t xml:space="preserve"> (ūdensvadam vai kanalizācijai). Saskaņā ar konkursa nolikuma 4. un 5.zemsvītras atsauci d</w:t>
      </w:r>
      <w:r w:rsidR="00E72F63" w:rsidRPr="00E72F63">
        <w:rPr>
          <w:color w:val="000000"/>
        </w:rPr>
        <w:t>īkeri ir īpašas cauruļvadu būves, ar kuru palīdzību ūdeņus zem spiediena izvada zem virsmu pazeminājumiem, paaugstinājumiem vai esošiem šķēršļiem</w:t>
      </w:r>
      <w:r w:rsidR="00E72F63">
        <w:rPr>
          <w:color w:val="000000"/>
        </w:rPr>
        <w:t xml:space="preserve"> - </w:t>
      </w:r>
      <w:r w:rsidR="00E72F63" w:rsidRPr="00E72F63">
        <w:rPr>
          <w:color w:val="000000"/>
        </w:rPr>
        <w:t>ūdenstilpnes, gravas, dzelzceļi, tuneļi.</w:t>
      </w:r>
    </w:p>
    <w:p w:rsidR="001B47E1" w:rsidRDefault="001B47E1" w:rsidP="001B47E1">
      <w:pPr>
        <w:overflowPunct w:val="0"/>
        <w:autoSpaceDE w:val="0"/>
        <w:autoSpaceDN w:val="0"/>
        <w:adjustRightInd w:val="0"/>
        <w:jc w:val="both"/>
        <w:rPr>
          <w:color w:val="000000"/>
        </w:rPr>
      </w:pPr>
      <w:r>
        <w:rPr>
          <w:color w:val="000000"/>
        </w:rPr>
        <w:t xml:space="preserve">Vēršam uzmanību, ka minētajās atsaucēs nav norādīts </w:t>
      </w:r>
      <w:r w:rsidR="00B105D7">
        <w:rPr>
          <w:color w:val="000000"/>
        </w:rPr>
        <w:t xml:space="preserve">ka </w:t>
      </w:r>
      <w:r w:rsidRPr="00B105D7">
        <w:rPr>
          <w:color w:val="000000"/>
          <w:u w:val="single"/>
        </w:rPr>
        <w:t>tikai tādiem</w:t>
      </w:r>
      <w:r>
        <w:rPr>
          <w:color w:val="000000"/>
        </w:rPr>
        <w:t xml:space="preserve"> esošiem šķēršļiem. Līdz ar ko,</w:t>
      </w:r>
      <w:r w:rsidRPr="001B47E1">
        <w:rPr>
          <w:color w:val="000000"/>
        </w:rPr>
        <w:t xml:space="preserve"> </w:t>
      </w:r>
      <w:r>
        <w:rPr>
          <w:color w:val="000000"/>
        </w:rPr>
        <w:t>k</w:t>
      </w:r>
      <w:r>
        <w:rPr>
          <w:color w:val="000000"/>
        </w:rPr>
        <w:t xml:space="preserve">omisija sniedza atbildi, izskaidrojot, ka </w:t>
      </w:r>
      <w:r w:rsidRPr="00E72F63">
        <w:rPr>
          <w:color w:val="000000"/>
        </w:rPr>
        <w:t>Pasūtītājs nav ierobežojis piegādātājus ar konkrētiem šķēršļu veidiem.</w:t>
      </w:r>
      <w:r>
        <w:rPr>
          <w:color w:val="000000"/>
        </w:rPr>
        <w:t xml:space="preserve"> Inženierbūves atsaucēs ir n</w:t>
      </w:r>
      <w:r>
        <w:rPr>
          <w:color w:val="000000"/>
        </w:rPr>
        <w:t>orādītas</w:t>
      </w:r>
      <w:r>
        <w:rPr>
          <w:color w:val="000000"/>
        </w:rPr>
        <w:t xml:space="preserve"> kā piemērs.</w:t>
      </w:r>
    </w:p>
    <w:p w:rsidR="001B47E1" w:rsidRDefault="00B105D7" w:rsidP="001B47E1">
      <w:pPr>
        <w:overflowPunct w:val="0"/>
        <w:autoSpaceDE w:val="0"/>
        <w:autoSpaceDN w:val="0"/>
        <w:adjustRightInd w:val="0"/>
        <w:jc w:val="both"/>
        <w:rPr>
          <w:color w:val="000000"/>
        </w:rPr>
      </w:pPr>
      <w:r>
        <w:rPr>
          <w:color w:val="000000"/>
        </w:rPr>
        <w:t>Komisija secināja, ka i</w:t>
      </w:r>
      <w:r w:rsidR="00B120AA">
        <w:rPr>
          <w:color w:val="000000"/>
        </w:rPr>
        <w:t>nterpretējot iepirkuma procedūras dokumentos noteiktās prasības, pastāv risks, ka tas, ko saprot gribas izteikuma adresāts (pretendents), neatbilst tam, ko gribējis pateikt gribas izteicējs (pasūtītājs), un šajā gadījumā pastāv mērķu konflikts</w:t>
      </w:r>
      <w:r>
        <w:rPr>
          <w:color w:val="000000"/>
        </w:rPr>
        <w:t>.</w:t>
      </w:r>
      <w:r w:rsidR="00B120AA">
        <w:rPr>
          <w:color w:val="000000"/>
        </w:rPr>
        <w:t xml:space="preserve"> </w:t>
      </w:r>
      <w:r>
        <w:rPr>
          <w:color w:val="000000"/>
        </w:rPr>
        <w:t>Līdz ar to, piegādātāju interešu aizsardzības nolūkos, n</w:t>
      </w:r>
      <w:r w:rsidRPr="00B105D7">
        <w:rPr>
          <w:color w:val="000000"/>
        </w:rPr>
        <w:t xml:space="preserve">olikuma </w:t>
      </w:r>
      <w:r>
        <w:rPr>
          <w:color w:val="000000"/>
        </w:rPr>
        <w:t>4. un 5.zemsvītras atsauce</w:t>
      </w:r>
      <w:r w:rsidRPr="00B105D7">
        <w:rPr>
          <w:color w:val="000000"/>
        </w:rPr>
        <w:t xml:space="preserve"> tiks precizēta. Lūdzam skatīties grozījumus pircēja profilā.</w:t>
      </w:r>
    </w:p>
    <w:p w:rsidR="00B105D7" w:rsidRDefault="00B105D7" w:rsidP="001B47E1">
      <w:pPr>
        <w:overflowPunct w:val="0"/>
        <w:autoSpaceDE w:val="0"/>
        <w:autoSpaceDN w:val="0"/>
        <w:adjustRightInd w:val="0"/>
        <w:jc w:val="both"/>
        <w:rPr>
          <w:color w:val="000000"/>
        </w:rPr>
      </w:pPr>
    </w:p>
    <w:p w:rsidR="00B105D7" w:rsidRDefault="00B105D7" w:rsidP="001B47E1">
      <w:pPr>
        <w:overflowPunct w:val="0"/>
        <w:autoSpaceDE w:val="0"/>
        <w:autoSpaceDN w:val="0"/>
        <w:adjustRightInd w:val="0"/>
        <w:jc w:val="both"/>
        <w:rPr>
          <w:color w:val="000000"/>
        </w:rPr>
      </w:pPr>
    </w:p>
    <w:p w:rsidR="00B105D7" w:rsidRPr="00B260E3" w:rsidRDefault="00B105D7" w:rsidP="00B105D7">
      <w:pPr>
        <w:widowControl w:val="0"/>
        <w:overflowPunct w:val="0"/>
        <w:autoSpaceDE w:val="0"/>
        <w:autoSpaceDN w:val="0"/>
        <w:adjustRightInd w:val="0"/>
        <w:rPr>
          <w:bCs/>
          <w:i/>
          <w:u w:val="single"/>
        </w:rPr>
      </w:pPr>
      <w:r>
        <w:rPr>
          <w:bCs/>
          <w:i/>
          <w:u w:val="single"/>
        </w:rPr>
        <w:t>2</w:t>
      </w:r>
      <w:r w:rsidRPr="00B260E3">
        <w:rPr>
          <w:bCs/>
          <w:i/>
          <w:u w:val="single"/>
        </w:rPr>
        <w:t>.jautājums</w:t>
      </w:r>
    </w:p>
    <w:p w:rsidR="00E72F63" w:rsidRDefault="00B105D7" w:rsidP="00B260E3">
      <w:pPr>
        <w:overflowPunct w:val="0"/>
        <w:autoSpaceDE w:val="0"/>
        <w:autoSpaceDN w:val="0"/>
        <w:adjustRightInd w:val="0"/>
        <w:jc w:val="both"/>
        <w:rPr>
          <w:color w:val="000000"/>
        </w:rPr>
      </w:pPr>
      <w:r w:rsidRPr="00B105D7">
        <w:rPr>
          <w:noProof/>
          <w:color w:val="000000"/>
          <w:lang w:val="en-US"/>
        </w:rPr>
        <w:drawing>
          <wp:inline distT="0" distB="0" distL="0" distR="0">
            <wp:extent cx="5943600" cy="2167392"/>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lum contrast="7000"/>
                      <a:extLst>
                        <a:ext uri="{28A0092B-C50C-407E-A947-70E740481C1C}">
                          <a14:useLocalDpi xmlns:a14="http://schemas.microsoft.com/office/drawing/2010/main" val="0"/>
                        </a:ext>
                      </a:extLst>
                    </a:blip>
                    <a:srcRect/>
                    <a:stretch>
                      <a:fillRect/>
                    </a:stretch>
                  </pic:blipFill>
                  <pic:spPr bwMode="auto">
                    <a:xfrm>
                      <a:off x="0" y="0"/>
                      <a:ext cx="5943600" cy="2167392"/>
                    </a:xfrm>
                    <a:prstGeom prst="rect">
                      <a:avLst/>
                    </a:prstGeom>
                    <a:noFill/>
                    <a:ln>
                      <a:noFill/>
                    </a:ln>
                  </pic:spPr>
                </pic:pic>
              </a:graphicData>
            </a:graphic>
          </wp:inline>
        </w:drawing>
      </w:r>
    </w:p>
    <w:p w:rsidR="00B105D7" w:rsidRDefault="00B105D7" w:rsidP="00B260E3">
      <w:pPr>
        <w:overflowPunct w:val="0"/>
        <w:autoSpaceDE w:val="0"/>
        <w:autoSpaceDN w:val="0"/>
        <w:adjustRightInd w:val="0"/>
        <w:jc w:val="both"/>
        <w:rPr>
          <w:color w:val="000000"/>
        </w:rPr>
      </w:pPr>
      <w:r w:rsidRPr="00B105D7">
        <w:rPr>
          <w:noProof/>
          <w:color w:val="000000"/>
          <w:lang w:val="en-US"/>
        </w:rPr>
        <w:lastRenderedPageBreak/>
        <w:drawing>
          <wp:inline distT="0" distB="0" distL="0" distR="0">
            <wp:extent cx="5943600" cy="15247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lum contrast="7000"/>
                      <a:extLst>
                        <a:ext uri="{28A0092B-C50C-407E-A947-70E740481C1C}">
                          <a14:useLocalDpi xmlns:a14="http://schemas.microsoft.com/office/drawing/2010/main" val="0"/>
                        </a:ext>
                      </a:extLst>
                    </a:blip>
                    <a:srcRect/>
                    <a:stretch>
                      <a:fillRect/>
                    </a:stretch>
                  </pic:blipFill>
                  <pic:spPr bwMode="auto">
                    <a:xfrm>
                      <a:off x="0" y="0"/>
                      <a:ext cx="5943600" cy="1524752"/>
                    </a:xfrm>
                    <a:prstGeom prst="rect">
                      <a:avLst/>
                    </a:prstGeom>
                    <a:noFill/>
                    <a:ln>
                      <a:noFill/>
                    </a:ln>
                  </pic:spPr>
                </pic:pic>
              </a:graphicData>
            </a:graphic>
          </wp:inline>
        </w:drawing>
      </w:r>
    </w:p>
    <w:p w:rsidR="00B105D7" w:rsidRDefault="00B105D7" w:rsidP="00B260E3">
      <w:pPr>
        <w:overflowPunct w:val="0"/>
        <w:autoSpaceDE w:val="0"/>
        <w:autoSpaceDN w:val="0"/>
        <w:adjustRightInd w:val="0"/>
        <w:jc w:val="both"/>
        <w:rPr>
          <w:color w:val="000000"/>
        </w:rPr>
      </w:pPr>
    </w:p>
    <w:p w:rsidR="00B105D7" w:rsidRPr="00CF21FC" w:rsidRDefault="00B105D7" w:rsidP="00B105D7">
      <w:pPr>
        <w:overflowPunct w:val="0"/>
        <w:autoSpaceDE w:val="0"/>
        <w:autoSpaceDN w:val="0"/>
        <w:adjustRightInd w:val="0"/>
        <w:jc w:val="both"/>
        <w:rPr>
          <w:b/>
          <w:bCs/>
        </w:rPr>
      </w:pPr>
      <w:r>
        <w:rPr>
          <w:b/>
          <w:bCs/>
        </w:rPr>
        <w:t>2</w:t>
      </w:r>
      <w:r w:rsidRPr="00CF21FC">
        <w:rPr>
          <w:b/>
          <w:bCs/>
        </w:rPr>
        <w:t>.Atbilde</w:t>
      </w:r>
    </w:p>
    <w:p w:rsidR="00B105D7" w:rsidRPr="00B105D7" w:rsidRDefault="00B105D7" w:rsidP="00B260E3">
      <w:pPr>
        <w:overflowPunct w:val="0"/>
        <w:autoSpaceDE w:val="0"/>
        <w:autoSpaceDN w:val="0"/>
        <w:adjustRightInd w:val="0"/>
        <w:jc w:val="both"/>
        <w:rPr>
          <w:lang w:eastAsia="lv-LV"/>
        </w:rPr>
      </w:pPr>
      <w:r>
        <w:rPr>
          <w:lang w:eastAsia="lv-LV"/>
        </w:rPr>
        <w:t xml:space="preserve">Konkursa nolikuma </w:t>
      </w:r>
      <w:r>
        <w:rPr>
          <w:lang w:eastAsia="lv-LV"/>
        </w:rPr>
        <w:t>15.6.</w:t>
      </w:r>
      <w:r>
        <w:rPr>
          <w:lang w:eastAsia="lv-LV"/>
        </w:rPr>
        <w:t>punkts paredz prasību</w:t>
      </w:r>
      <w:r w:rsidR="001B5BE7">
        <w:rPr>
          <w:lang w:eastAsia="lv-LV"/>
        </w:rPr>
        <w:t>, ka p</w:t>
      </w:r>
      <w:r w:rsidRPr="00B105D7">
        <w:rPr>
          <w:shd w:val="clear" w:color="auto" w:fill="FFFFFF"/>
        </w:rPr>
        <w:t>iecos iepriekšējos gados (2013., 2014., 2015., 2016., 2017. un 2018. gads līdz piedāvājumu iesniegšanai) Pretendents ir realizējis vismaz vienu līgumu, kura ietvaros izbūvējis vismaz vienu dīkeri ar garumu vismaz 100 m</w:t>
      </w:r>
      <w:r w:rsidR="001B5BE7">
        <w:rPr>
          <w:shd w:val="clear" w:color="auto" w:fill="FFFFFF"/>
        </w:rPr>
        <w:t xml:space="preserve"> (ūdensvadam vai kanalizācijai).</w:t>
      </w:r>
    </w:p>
    <w:p w:rsidR="001B5BE7" w:rsidRPr="001B5BE7" w:rsidRDefault="001B5BE7" w:rsidP="00B260E3">
      <w:pPr>
        <w:overflowPunct w:val="0"/>
        <w:autoSpaceDE w:val="0"/>
        <w:autoSpaceDN w:val="0"/>
        <w:adjustRightInd w:val="0"/>
        <w:jc w:val="both"/>
        <w:rPr>
          <w:color w:val="000000"/>
        </w:rPr>
      </w:pPr>
      <w:r>
        <w:rPr>
          <w:lang w:eastAsia="lv-LV"/>
        </w:rPr>
        <w:t>Konkursa nolikuma 15.</w:t>
      </w:r>
      <w:r>
        <w:rPr>
          <w:lang w:eastAsia="lv-LV"/>
        </w:rPr>
        <w:t>14</w:t>
      </w:r>
      <w:r>
        <w:rPr>
          <w:lang w:eastAsia="lv-LV"/>
        </w:rPr>
        <w:t>.punkts paredz prasību</w:t>
      </w:r>
      <w:r>
        <w:rPr>
          <w:lang w:eastAsia="lv-LV"/>
        </w:rPr>
        <w:t>, ka a</w:t>
      </w:r>
      <w:r w:rsidRPr="001B5BE7">
        <w:rPr>
          <w:shd w:val="clear" w:color="auto" w:fill="FFFFFF"/>
        </w:rPr>
        <w:t>tbildīgajam būvdarbu vadītājam piecos iepriekšējos gados (2013., 2014., 2015., 2016., 2017.gads un 2018.gads līdz piedāvājumu iesniegšanai) ir atbildīgā būvdarbu vadītāja pieredze vismaz vienā līgumā, kura ietvaros izbūvēts vismaz viens dīkers ar garumu vismaz 100 m (ūdensvadam vai kanalizācijai)</w:t>
      </w:r>
      <w:r>
        <w:rPr>
          <w:shd w:val="clear" w:color="auto" w:fill="FFFFFF"/>
        </w:rPr>
        <w:t>.</w:t>
      </w:r>
    </w:p>
    <w:p w:rsidR="001B5BE7" w:rsidRPr="001B5BE7" w:rsidRDefault="001B5BE7" w:rsidP="00B260E3">
      <w:pPr>
        <w:overflowPunct w:val="0"/>
        <w:autoSpaceDE w:val="0"/>
        <w:autoSpaceDN w:val="0"/>
        <w:adjustRightInd w:val="0"/>
        <w:jc w:val="both"/>
      </w:pPr>
      <w:r w:rsidRPr="00B260E3">
        <w:t>Konkursa nolikuma</w:t>
      </w:r>
      <w:r>
        <w:t xml:space="preserve"> 15.</w:t>
      </w:r>
      <w:r w:rsidRPr="00B260E3">
        <w:t xml:space="preserve">6.punktā </w:t>
      </w:r>
      <w:r>
        <w:t>un 15.14.punktā nav noteikta</w:t>
      </w:r>
      <w:r w:rsidRPr="00B260E3">
        <w:t xml:space="preserve"> </w:t>
      </w:r>
      <w:r>
        <w:t>dīkera izbūves metode</w:t>
      </w:r>
      <w:r w:rsidRPr="00B260E3">
        <w:t>. Attiecīgi Pasūtītājs neierobežo piegādātājus</w:t>
      </w:r>
      <w:r>
        <w:t xml:space="preserve"> ar šādām prasībām</w:t>
      </w:r>
      <w:r w:rsidRPr="00B260E3">
        <w:t>.</w:t>
      </w:r>
    </w:p>
    <w:p w:rsidR="00F50203" w:rsidRDefault="001B5BE7" w:rsidP="00B260E3">
      <w:pPr>
        <w:overflowPunct w:val="0"/>
        <w:autoSpaceDE w:val="0"/>
        <w:autoSpaceDN w:val="0"/>
        <w:adjustRightInd w:val="0"/>
        <w:jc w:val="both"/>
        <w:rPr>
          <w:bCs/>
          <w:lang w:eastAsia="lv-LV"/>
        </w:rPr>
      </w:pPr>
      <w:r>
        <w:rPr>
          <w:bCs/>
          <w:lang w:eastAsia="lv-LV"/>
        </w:rPr>
        <w:t>Vēršam uzmanību, ka Iepirkum</w:t>
      </w:r>
      <w:r w:rsidR="009031C6">
        <w:rPr>
          <w:bCs/>
          <w:lang w:eastAsia="lv-LV"/>
        </w:rPr>
        <w:t>a</w:t>
      </w:r>
      <w:r>
        <w:rPr>
          <w:bCs/>
          <w:lang w:eastAsia="lv-LV"/>
        </w:rPr>
        <w:t xml:space="preserve"> komisija pieņem lēmumu par iesniegtā piedāvājuma atbilstību vai neatbilstību Konkursa nolikum</w:t>
      </w:r>
      <w:r w:rsidR="009031C6">
        <w:rPr>
          <w:bCs/>
          <w:lang w:eastAsia="lv-LV"/>
        </w:rPr>
        <w:t>a</w:t>
      </w:r>
      <w:r>
        <w:rPr>
          <w:bCs/>
          <w:lang w:eastAsia="lv-LV"/>
        </w:rPr>
        <w:t xml:space="preserve"> prasībām tikai piedāvājumu vērtēšanas stadijā. Iepirkumu komisija nesniedz vērtējumus un </w:t>
      </w:r>
      <w:r>
        <w:rPr>
          <w:bCs/>
          <w:lang w:eastAsia="lv-LV"/>
        </w:rPr>
        <w:t>komentārus (apstiprinot vai apliecinot) pa</w:t>
      </w:r>
      <w:r>
        <w:rPr>
          <w:bCs/>
          <w:lang w:eastAsia="lv-LV"/>
        </w:rPr>
        <w:t>r to, vai piegādātāju gatavotie piedāvājumi būs vai nebūs atbilstoši Konkursa nolikuma prasībām.</w:t>
      </w:r>
    </w:p>
    <w:p w:rsidR="001B5BE7" w:rsidRDefault="001B5BE7" w:rsidP="00B260E3">
      <w:pPr>
        <w:overflowPunct w:val="0"/>
        <w:autoSpaceDE w:val="0"/>
        <w:autoSpaceDN w:val="0"/>
        <w:adjustRightInd w:val="0"/>
        <w:jc w:val="both"/>
        <w:rPr>
          <w:bCs/>
          <w:lang w:eastAsia="lv-LV"/>
        </w:rPr>
      </w:pPr>
      <w:bookmarkStart w:id="0" w:name="_GoBack"/>
      <w:bookmarkEnd w:id="0"/>
    </w:p>
    <w:p w:rsidR="001B5BE7" w:rsidRDefault="001B5BE7" w:rsidP="001B5BE7">
      <w:pPr>
        <w:overflowPunct w:val="0"/>
        <w:autoSpaceDE w:val="0"/>
        <w:autoSpaceDN w:val="0"/>
        <w:adjustRightInd w:val="0"/>
        <w:jc w:val="right"/>
        <w:rPr>
          <w:color w:val="000000"/>
        </w:rPr>
      </w:pPr>
      <w:r>
        <w:rPr>
          <w:bCs/>
          <w:lang w:eastAsia="lv-LV"/>
        </w:rPr>
        <w:t>Iepirkuma komisija</w:t>
      </w:r>
    </w:p>
    <w:sectPr w:rsidR="001B5BE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20E7" w:rsidRDefault="00C820E7" w:rsidP="00B105D7">
      <w:r>
        <w:separator/>
      </w:r>
    </w:p>
  </w:endnote>
  <w:endnote w:type="continuationSeparator" w:id="0">
    <w:p w:rsidR="00C820E7" w:rsidRDefault="00C820E7" w:rsidP="00B10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20E7" w:rsidRDefault="00C820E7" w:rsidP="00B105D7">
      <w:r>
        <w:separator/>
      </w:r>
    </w:p>
  </w:footnote>
  <w:footnote w:type="continuationSeparator" w:id="0">
    <w:p w:rsidR="00C820E7" w:rsidRDefault="00C820E7" w:rsidP="00B105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B924D8"/>
    <w:multiLevelType w:val="hybridMultilevel"/>
    <w:tmpl w:val="0EA8B7E2"/>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 w15:restartNumberingAfterBreak="0">
    <w:nsid w:val="59CA7071"/>
    <w:multiLevelType w:val="multilevel"/>
    <w:tmpl w:val="E24050FC"/>
    <w:lvl w:ilvl="0">
      <w:start w:val="1"/>
      <w:numFmt w:val="decimal"/>
      <w:lvlText w:val="%1."/>
      <w:lvlJc w:val="left"/>
      <w:pPr>
        <w:ind w:left="360" w:hanging="360"/>
      </w:pPr>
      <w:rPr>
        <w:rFonts w:hint="default"/>
        <w:b/>
        <w:i w:val="0"/>
        <w:u w:val="none"/>
      </w:rPr>
    </w:lvl>
    <w:lvl w:ilvl="1">
      <w:start w:val="1"/>
      <w:numFmt w:val="decimal"/>
      <w:lvlText w:val="%1.%2."/>
      <w:lvlJc w:val="left"/>
      <w:pPr>
        <w:ind w:left="360" w:hanging="360"/>
      </w:pPr>
      <w:rPr>
        <w:rFonts w:hint="default"/>
        <w:b/>
        <w:i w:val="0"/>
        <w:u w:val="none"/>
      </w:rPr>
    </w:lvl>
    <w:lvl w:ilvl="2">
      <w:start w:val="1"/>
      <w:numFmt w:val="decimal"/>
      <w:lvlText w:val="%1.%2.%3."/>
      <w:lvlJc w:val="left"/>
      <w:pPr>
        <w:ind w:left="720" w:hanging="720"/>
      </w:pPr>
      <w:rPr>
        <w:rFonts w:hint="default"/>
        <w:b/>
        <w:i w:val="0"/>
        <w:u w:val="none"/>
      </w:rPr>
    </w:lvl>
    <w:lvl w:ilvl="3">
      <w:start w:val="1"/>
      <w:numFmt w:val="decimal"/>
      <w:lvlText w:val="%1.%2.%3.%4."/>
      <w:lvlJc w:val="left"/>
      <w:pPr>
        <w:ind w:left="720" w:hanging="720"/>
      </w:pPr>
      <w:rPr>
        <w:rFonts w:hint="default"/>
        <w:b/>
        <w:i w:val="0"/>
        <w:u w:val="none"/>
      </w:rPr>
    </w:lvl>
    <w:lvl w:ilvl="4">
      <w:start w:val="1"/>
      <w:numFmt w:val="decimal"/>
      <w:lvlText w:val="%1.%2.%3.%4.%5."/>
      <w:lvlJc w:val="left"/>
      <w:pPr>
        <w:ind w:left="1080" w:hanging="1080"/>
      </w:pPr>
      <w:rPr>
        <w:rFonts w:hint="default"/>
        <w:b/>
        <w:i w:val="0"/>
        <w:u w:val="none"/>
      </w:rPr>
    </w:lvl>
    <w:lvl w:ilvl="5">
      <w:start w:val="1"/>
      <w:numFmt w:val="decimal"/>
      <w:lvlText w:val="%1.%2.%3.%4.%5.%6."/>
      <w:lvlJc w:val="left"/>
      <w:pPr>
        <w:ind w:left="1080" w:hanging="1080"/>
      </w:pPr>
      <w:rPr>
        <w:rFonts w:hint="default"/>
        <w:b/>
        <w:i w:val="0"/>
        <w:u w:val="none"/>
      </w:rPr>
    </w:lvl>
    <w:lvl w:ilvl="6">
      <w:start w:val="1"/>
      <w:numFmt w:val="decimal"/>
      <w:lvlText w:val="%1.%2.%3.%4.%5.%6.%7."/>
      <w:lvlJc w:val="left"/>
      <w:pPr>
        <w:ind w:left="1440" w:hanging="1440"/>
      </w:pPr>
      <w:rPr>
        <w:rFonts w:hint="default"/>
        <w:b/>
        <w:i w:val="0"/>
        <w:u w:val="none"/>
      </w:rPr>
    </w:lvl>
    <w:lvl w:ilvl="7">
      <w:start w:val="1"/>
      <w:numFmt w:val="decimal"/>
      <w:lvlText w:val="%1.%2.%3.%4.%5.%6.%7.%8."/>
      <w:lvlJc w:val="left"/>
      <w:pPr>
        <w:ind w:left="1440" w:hanging="1440"/>
      </w:pPr>
      <w:rPr>
        <w:rFonts w:hint="default"/>
        <w:b/>
        <w:i w:val="0"/>
        <w:u w:val="none"/>
      </w:rPr>
    </w:lvl>
    <w:lvl w:ilvl="8">
      <w:start w:val="1"/>
      <w:numFmt w:val="decimal"/>
      <w:lvlText w:val="%1.%2.%3.%4.%5.%6.%7.%8.%9."/>
      <w:lvlJc w:val="left"/>
      <w:pPr>
        <w:ind w:left="1800" w:hanging="1800"/>
      </w:pPr>
      <w:rPr>
        <w:rFonts w:hint="default"/>
        <w:b/>
        <w:i w:val="0"/>
        <w:u w:val="none"/>
      </w:rPr>
    </w:lvl>
  </w:abstractNum>
  <w:abstractNum w:abstractNumId="2" w15:restartNumberingAfterBreak="0">
    <w:nsid w:val="708F7AF9"/>
    <w:multiLevelType w:val="hybridMultilevel"/>
    <w:tmpl w:val="C85AB176"/>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15:restartNumberingAfterBreak="0">
    <w:nsid w:val="7B233C6A"/>
    <w:multiLevelType w:val="hybridMultilevel"/>
    <w:tmpl w:val="1CFE7EA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83E"/>
    <w:rsid w:val="00056B28"/>
    <w:rsid w:val="00066130"/>
    <w:rsid w:val="0011279A"/>
    <w:rsid w:val="001B2675"/>
    <w:rsid w:val="001B47E1"/>
    <w:rsid w:val="001B5BE7"/>
    <w:rsid w:val="002245B9"/>
    <w:rsid w:val="002246E8"/>
    <w:rsid w:val="002B3CF5"/>
    <w:rsid w:val="002B68F9"/>
    <w:rsid w:val="002C5BE4"/>
    <w:rsid w:val="002E390F"/>
    <w:rsid w:val="0031286F"/>
    <w:rsid w:val="00365318"/>
    <w:rsid w:val="003E1CD1"/>
    <w:rsid w:val="003F1551"/>
    <w:rsid w:val="00433522"/>
    <w:rsid w:val="005370C3"/>
    <w:rsid w:val="005C5E4F"/>
    <w:rsid w:val="006178C5"/>
    <w:rsid w:val="0072013B"/>
    <w:rsid w:val="00730044"/>
    <w:rsid w:val="00756BF0"/>
    <w:rsid w:val="00773F86"/>
    <w:rsid w:val="007B56A7"/>
    <w:rsid w:val="007D0945"/>
    <w:rsid w:val="00800752"/>
    <w:rsid w:val="00876F2A"/>
    <w:rsid w:val="009031C6"/>
    <w:rsid w:val="0090357E"/>
    <w:rsid w:val="00942F77"/>
    <w:rsid w:val="00A21D70"/>
    <w:rsid w:val="00A6150F"/>
    <w:rsid w:val="00AC7A33"/>
    <w:rsid w:val="00AE29CE"/>
    <w:rsid w:val="00AF0D47"/>
    <w:rsid w:val="00B105D7"/>
    <w:rsid w:val="00B120AA"/>
    <w:rsid w:val="00B260E3"/>
    <w:rsid w:val="00B545DD"/>
    <w:rsid w:val="00B61043"/>
    <w:rsid w:val="00B72DFD"/>
    <w:rsid w:val="00B91F89"/>
    <w:rsid w:val="00BA483E"/>
    <w:rsid w:val="00BC6354"/>
    <w:rsid w:val="00C028B1"/>
    <w:rsid w:val="00C03B96"/>
    <w:rsid w:val="00C106AF"/>
    <w:rsid w:val="00C34651"/>
    <w:rsid w:val="00C820E7"/>
    <w:rsid w:val="00CF21FC"/>
    <w:rsid w:val="00DB00BD"/>
    <w:rsid w:val="00DE7728"/>
    <w:rsid w:val="00DE7E44"/>
    <w:rsid w:val="00DF3375"/>
    <w:rsid w:val="00DF5FC6"/>
    <w:rsid w:val="00E07FB1"/>
    <w:rsid w:val="00E72F63"/>
    <w:rsid w:val="00EC66CB"/>
    <w:rsid w:val="00F05D31"/>
    <w:rsid w:val="00F16CCA"/>
    <w:rsid w:val="00F261E8"/>
    <w:rsid w:val="00F36D00"/>
    <w:rsid w:val="00F50203"/>
    <w:rsid w:val="00F50A62"/>
    <w:rsid w:val="00F524E5"/>
    <w:rsid w:val="00F73D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933BA9-9B0C-4DF2-9A56-7ECD76EB9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483E"/>
    <w:pPr>
      <w:spacing w:after="0" w:line="240" w:lineRule="auto"/>
    </w:pPr>
    <w:rPr>
      <w:rFonts w:ascii="Times New Roman" w:eastAsia="Times New Roman" w:hAnsi="Times New Roman" w:cs="Times New Roman"/>
      <w:sz w:val="24"/>
      <w:szCs w:val="24"/>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83E"/>
    <w:pPr>
      <w:ind w:left="720"/>
      <w:contextualSpacing/>
    </w:pPr>
    <w:rPr>
      <w:lang w:val="en-US"/>
    </w:rPr>
  </w:style>
  <w:style w:type="paragraph" w:styleId="BodyTextIndent">
    <w:name w:val="Body Text Indent"/>
    <w:basedOn w:val="Normal"/>
    <w:link w:val="BodyTextIndentChar"/>
    <w:rsid w:val="00365318"/>
    <w:pPr>
      <w:ind w:firstLine="539"/>
      <w:jc w:val="both"/>
    </w:pPr>
  </w:style>
  <w:style w:type="character" w:customStyle="1" w:styleId="BodyTextIndentChar">
    <w:name w:val="Body Text Indent Char"/>
    <w:basedOn w:val="DefaultParagraphFont"/>
    <w:link w:val="BodyTextIndent"/>
    <w:rsid w:val="00365318"/>
    <w:rPr>
      <w:rFonts w:ascii="Times New Roman" w:eastAsia="Times New Roman" w:hAnsi="Times New Roman" w:cs="Times New Roman"/>
      <w:sz w:val="24"/>
      <w:szCs w:val="24"/>
      <w:lang w:val="lv-LV"/>
    </w:rPr>
  </w:style>
  <w:style w:type="character" w:styleId="Hyperlink">
    <w:name w:val="Hyperlink"/>
    <w:unhideWhenUsed/>
    <w:rsid w:val="00F50A62"/>
    <w:rPr>
      <w:color w:val="0000FF"/>
      <w:u w:val="single"/>
    </w:rPr>
  </w:style>
  <w:style w:type="paragraph" w:styleId="BalloonText">
    <w:name w:val="Balloon Text"/>
    <w:basedOn w:val="Normal"/>
    <w:link w:val="BalloonTextChar"/>
    <w:uiPriority w:val="99"/>
    <w:semiHidden/>
    <w:unhideWhenUsed/>
    <w:rsid w:val="00F05D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D31"/>
    <w:rPr>
      <w:rFonts w:ascii="Segoe UI" w:eastAsia="Times New Roman" w:hAnsi="Segoe UI" w:cs="Segoe UI"/>
      <w:sz w:val="18"/>
      <w:szCs w:val="18"/>
      <w:lang w:val="lv-LV"/>
    </w:rPr>
  </w:style>
  <w:style w:type="paragraph" w:styleId="FootnoteText">
    <w:name w:val="footnote text"/>
    <w:basedOn w:val="Normal"/>
    <w:link w:val="FootnoteTextChar"/>
    <w:unhideWhenUsed/>
    <w:rsid w:val="00B105D7"/>
    <w:rPr>
      <w:rFonts w:ascii="Calibri" w:eastAsia="Calibri" w:hAnsi="Calibri"/>
      <w:sz w:val="20"/>
      <w:szCs w:val="20"/>
      <w:lang w:val="x-none" w:eastAsia="x-none"/>
    </w:rPr>
  </w:style>
  <w:style w:type="character" w:customStyle="1" w:styleId="FootnoteTextChar">
    <w:name w:val="Footnote Text Char"/>
    <w:basedOn w:val="DefaultParagraphFont"/>
    <w:link w:val="FootnoteText"/>
    <w:rsid w:val="00B105D7"/>
    <w:rPr>
      <w:rFonts w:ascii="Calibri" w:eastAsia="Calibri" w:hAnsi="Calibri" w:cs="Times New Roman"/>
      <w:sz w:val="20"/>
      <w:szCs w:val="20"/>
      <w:lang w:val="x-none" w:eastAsia="x-none"/>
    </w:rPr>
  </w:style>
  <w:style w:type="character" w:styleId="FootnoteReference">
    <w:name w:val="footnote reference"/>
    <w:aliases w:val="Footnote symbol"/>
    <w:uiPriority w:val="99"/>
    <w:rsid w:val="00B105D7"/>
    <w:rPr>
      <w:vertAlign w:val="superscript"/>
    </w:rPr>
  </w:style>
  <w:style w:type="paragraph" w:styleId="EndnoteText">
    <w:name w:val="endnote text"/>
    <w:basedOn w:val="Normal"/>
    <w:link w:val="EndnoteTextChar"/>
    <w:uiPriority w:val="99"/>
    <w:semiHidden/>
    <w:unhideWhenUsed/>
    <w:rsid w:val="001B5BE7"/>
    <w:rPr>
      <w:sz w:val="20"/>
      <w:szCs w:val="20"/>
    </w:rPr>
  </w:style>
  <w:style w:type="character" w:customStyle="1" w:styleId="EndnoteTextChar">
    <w:name w:val="Endnote Text Char"/>
    <w:basedOn w:val="DefaultParagraphFont"/>
    <w:link w:val="EndnoteText"/>
    <w:uiPriority w:val="99"/>
    <w:semiHidden/>
    <w:rsid w:val="001B5BE7"/>
    <w:rPr>
      <w:rFonts w:ascii="Times New Roman" w:eastAsia="Times New Roman" w:hAnsi="Times New Roman" w:cs="Times New Roman"/>
      <w:sz w:val="20"/>
      <w:szCs w:val="20"/>
      <w:lang w:val="lv-LV"/>
    </w:rPr>
  </w:style>
  <w:style w:type="character" w:styleId="EndnoteReference">
    <w:name w:val="endnote reference"/>
    <w:basedOn w:val="DefaultParagraphFont"/>
    <w:uiPriority w:val="99"/>
    <w:semiHidden/>
    <w:unhideWhenUsed/>
    <w:rsid w:val="001B5B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414742">
      <w:bodyDiv w:val="1"/>
      <w:marLeft w:val="0"/>
      <w:marRight w:val="0"/>
      <w:marTop w:val="0"/>
      <w:marBottom w:val="0"/>
      <w:divBdr>
        <w:top w:val="none" w:sz="0" w:space="0" w:color="auto"/>
        <w:left w:val="none" w:sz="0" w:space="0" w:color="auto"/>
        <w:bottom w:val="none" w:sz="0" w:space="0" w:color="auto"/>
        <w:right w:val="none" w:sz="0" w:space="0" w:color="auto"/>
      </w:divBdr>
    </w:div>
    <w:div w:id="568807311">
      <w:bodyDiv w:val="1"/>
      <w:marLeft w:val="0"/>
      <w:marRight w:val="0"/>
      <w:marTop w:val="0"/>
      <w:marBottom w:val="0"/>
      <w:divBdr>
        <w:top w:val="none" w:sz="0" w:space="0" w:color="auto"/>
        <w:left w:val="none" w:sz="0" w:space="0" w:color="auto"/>
        <w:bottom w:val="none" w:sz="0" w:space="0" w:color="auto"/>
        <w:right w:val="none" w:sz="0" w:space="0" w:color="auto"/>
      </w:divBdr>
    </w:div>
    <w:div w:id="625815874">
      <w:bodyDiv w:val="1"/>
      <w:marLeft w:val="0"/>
      <w:marRight w:val="0"/>
      <w:marTop w:val="0"/>
      <w:marBottom w:val="0"/>
      <w:divBdr>
        <w:top w:val="none" w:sz="0" w:space="0" w:color="auto"/>
        <w:left w:val="none" w:sz="0" w:space="0" w:color="auto"/>
        <w:bottom w:val="none" w:sz="0" w:space="0" w:color="auto"/>
        <w:right w:val="none" w:sz="0" w:space="0" w:color="auto"/>
      </w:divBdr>
    </w:div>
    <w:div w:id="826214079">
      <w:bodyDiv w:val="1"/>
      <w:marLeft w:val="0"/>
      <w:marRight w:val="0"/>
      <w:marTop w:val="0"/>
      <w:marBottom w:val="0"/>
      <w:divBdr>
        <w:top w:val="none" w:sz="0" w:space="0" w:color="auto"/>
        <w:left w:val="none" w:sz="0" w:space="0" w:color="auto"/>
        <w:bottom w:val="none" w:sz="0" w:space="0" w:color="auto"/>
        <w:right w:val="none" w:sz="0" w:space="0" w:color="auto"/>
      </w:divBdr>
    </w:div>
    <w:div w:id="1523932469">
      <w:bodyDiv w:val="1"/>
      <w:marLeft w:val="0"/>
      <w:marRight w:val="0"/>
      <w:marTop w:val="0"/>
      <w:marBottom w:val="0"/>
      <w:divBdr>
        <w:top w:val="none" w:sz="0" w:space="0" w:color="auto"/>
        <w:left w:val="none" w:sz="0" w:space="0" w:color="auto"/>
        <w:bottom w:val="none" w:sz="0" w:space="0" w:color="auto"/>
        <w:right w:val="none" w:sz="0" w:space="0" w:color="auto"/>
      </w:divBdr>
    </w:div>
    <w:div w:id="1629386291">
      <w:bodyDiv w:val="1"/>
      <w:marLeft w:val="0"/>
      <w:marRight w:val="0"/>
      <w:marTop w:val="0"/>
      <w:marBottom w:val="0"/>
      <w:divBdr>
        <w:top w:val="none" w:sz="0" w:space="0" w:color="auto"/>
        <w:left w:val="none" w:sz="0" w:space="0" w:color="auto"/>
        <w:bottom w:val="none" w:sz="0" w:space="0" w:color="auto"/>
        <w:right w:val="none" w:sz="0" w:space="0" w:color="auto"/>
      </w:divBdr>
    </w:div>
    <w:div w:id="1649630606">
      <w:bodyDiv w:val="1"/>
      <w:marLeft w:val="0"/>
      <w:marRight w:val="0"/>
      <w:marTop w:val="0"/>
      <w:marBottom w:val="0"/>
      <w:divBdr>
        <w:top w:val="none" w:sz="0" w:space="0" w:color="auto"/>
        <w:left w:val="none" w:sz="0" w:space="0" w:color="auto"/>
        <w:bottom w:val="none" w:sz="0" w:space="0" w:color="auto"/>
        <w:right w:val="none" w:sz="0" w:space="0" w:color="auto"/>
      </w:divBdr>
    </w:div>
    <w:div w:id="1872179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D7313-7AA4-4845-A6BF-86C52FE04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4</Pages>
  <Words>417</Words>
  <Characters>2383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Anatolijs Krivins</dc:creator>
  <cp:keywords/>
  <dc:description/>
  <cp:lastModifiedBy>Olga Strelkova</cp:lastModifiedBy>
  <cp:revision>4</cp:revision>
  <cp:lastPrinted>2018-05-31T13:24:00Z</cp:lastPrinted>
  <dcterms:created xsi:type="dcterms:W3CDTF">2018-05-31T12:07:00Z</dcterms:created>
  <dcterms:modified xsi:type="dcterms:W3CDTF">2018-05-31T13:33:00Z</dcterms:modified>
</cp:coreProperties>
</file>