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A21D70" w:rsidRDefault="00BA483E" w:rsidP="00BA483E">
      <w:pPr>
        <w:jc w:val="center"/>
      </w:pPr>
      <w:r w:rsidRPr="00A21D70">
        <w:t>Daugavpils pilsētas domes iepirkumu komisija</w:t>
      </w:r>
    </w:p>
    <w:p w:rsidR="00BA483E" w:rsidRPr="00A21D70" w:rsidRDefault="00BA483E" w:rsidP="00BA483E">
      <w:pPr>
        <w:jc w:val="center"/>
        <w:rPr>
          <w:b/>
          <w:bCs/>
        </w:rPr>
      </w:pPr>
      <w:r w:rsidRPr="00A21D70">
        <w:rPr>
          <w:b/>
          <w:bCs/>
        </w:rPr>
        <w:t>“</w:t>
      </w:r>
      <w:r w:rsidR="00720373" w:rsidRPr="00720373">
        <w:rPr>
          <w:b/>
          <w:bCs/>
          <w:sz w:val="23"/>
          <w:szCs w:val="23"/>
        </w:rPr>
        <w:t>Peldbaseinu ūdens cirkulācijas un filtrācijas aprīkojuma nomaiņa Daugavpils Valsts ģimnāzijas ēkā Cietokšņa ielā 33, Daugavpilī</w:t>
      </w:r>
      <w:r w:rsidR="006178C5" w:rsidRPr="00A21D70">
        <w:rPr>
          <w:b/>
          <w:bCs/>
        </w:rPr>
        <w:t>”</w:t>
      </w:r>
    </w:p>
    <w:p w:rsidR="00BA483E" w:rsidRPr="00A21D70" w:rsidRDefault="00BA483E" w:rsidP="00BA483E">
      <w:pPr>
        <w:jc w:val="center"/>
      </w:pPr>
      <w:r w:rsidRPr="00A21D70">
        <w:t>identifikācijas numurs DPD 201</w:t>
      </w:r>
      <w:r w:rsidR="006178C5" w:rsidRPr="00A21D70">
        <w:t>8</w:t>
      </w:r>
      <w:r w:rsidRPr="00A21D70">
        <w:t>/</w:t>
      </w:r>
      <w:r w:rsidR="00720373">
        <w:t>111</w:t>
      </w:r>
    </w:p>
    <w:p w:rsidR="00BA483E" w:rsidRPr="00A21D70" w:rsidRDefault="00BA483E" w:rsidP="00BA483E">
      <w:pPr>
        <w:rPr>
          <w:i/>
        </w:rPr>
      </w:pPr>
    </w:p>
    <w:p w:rsidR="00BA483E" w:rsidRPr="00A21D70" w:rsidRDefault="00720373" w:rsidP="00BA483E">
      <w:pPr>
        <w:jc w:val="center"/>
        <w:rPr>
          <w:b/>
          <w:caps/>
        </w:rPr>
      </w:pPr>
      <w:r>
        <w:rPr>
          <w:b/>
          <w:caps/>
        </w:rPr>
        <w:t>Atbilde</w:t>
      </w:r>
    </w:p>
    <w:p w:rsidR="00BA483E" w:rsidRPr="00A21D70" w:rsidRDefault="00BA483E" w:rsidP="00BA483E">
      <w:pPr>
        <w:jc w:val="center"/>
        <w:rPr>
          <w:caps/>
        </w:rPr>
      </w:pPr>
      <w:r w:rsidRPr="00A21D70">
        <w:rPr>
          <w:caps/>
        </w:rPr>
        <w:t>Uz piegĀdātāj</w:t>
      </w:r>
      <w:r w:rsidR="00720373">
        <w:rPr>
          <w:caps/>
        </w:rPr>
        <w:t>A</w:t>
      </w:r>
      <w:r w:rsidRPr="00A21D70">
        <w:rPr>
          <w:caps/>
        </w:rPr>
        <w:t xml:space="preserve"> jautājum</w:t>
      </w:r>
      <w:r w:rsidR="00720373">
        <w:rPr>
          <w:caps/>
        </w:rPr>
        <w:t>u</w:t>
      </w:r>
    </w:p>
    <w:p w:rsidR="00BA483E" w:rsidRPr="00A21D70" w:rsidRDefault="006178C5" w:rsidP="00BA483E">
      <w:pPr>
        <w:jc w:val="center"/>
        <w:rPr>
          <w:caps/>
        </w:rPr>
      </w:pPr>
      <w:r w:rsidRPr="00A21D70">
        <w:rPr>
          <w:b/>
          <w:caps/>
        </w:rPr>
        <w:t>Nr.1</w:t>
      </w:r>
    </w:p>
    <w:p w:rsidR="00BC6354" w:rsidRPr="00A21D70" w:rsidRDefault="00BC6354" w:rsidP="00BC6354">
      <w:pPr>
        <w:rPr>
          <w:i/>
        </w:rPr>
      </w:pPr>
    </w:p>
    <w:p w:rsidR="00720373" w:rsidRPr="00720373" w:rsidRDefault="00720373" w:rsidP="00720373">
      <w:pPr>
        <w:widowControl w:val="0"/>
        <w:overflowPunct w:val="0"/>
        <w:autoSpaceDE w:val="0"/>
        <w:autoSpaceDN w:val="0"/>
        <w:adjustRightInd w:val="0"/>
        <w:rPr>
          <w:bCs/>
          <w:i/>
          <w:u w:val="single"/>
        </w:rPr>
      </w:pPr>
      <w:r w:rsidRPr="00720373">
        <w:rPr>
          <w:bCs/>
          <w:i/>
          <w:u w:val="single"/>
        </w:rPr>
        <w:t>1.jautājums</w:t>
      </w:r>
    </w:p>
    <w:p w:rsidR="00720373" w:rsidRPr="00720373" w:rsidRDefault="00720373" w:rsidP="00720373">
      <w:pPr>
        <w:overflowPunct w:val="0"/>
        <w:autoSpaceDE w:val="0"/>
        <w:autoSpaceDN w:val="0"/>
        <w:adjustRightInd w:val="0"/>
        <w:jc w:val="both"/>
        <w:rPr>
          <w:bCs/>
        </w:rPr>
      </w:pPr>
      <w:r w:rsidRPr="00720373">
        <w:rPr>
          <w:bCs/>
        </w:rPr>
        <w:t>Nolikuma 15.4.punkta prasība nosaka, ka pretendentam jābūt pieredzei “Galvenā būvuzņēmēja statusā”. Vai pretendents, lai izpildītu šī punkta prasību, var balstīties uz citu personu tehniskajām un profesionālajām spējām, piemēram, uz piesaistītas personas – apakšuzņēmēja pieredzi, kuru tas guvis galvenā būvuzņēmēja statusā?</w:t>
      </w:r>
      <w:bookmarkStart w:id="0" w:name="_GoBack"/>
      <w:bookmarkEnd w:id="0"/>
    </w:p>
    <w:p w:rsidR="00720373" w:rsidRPr="00720373" w:rsidRDefault="00720373" w:rsidP="00720373">
      <w:pPr>
        <w:overflowPunct w:val="0"/>
        <w:autoSpaceDE w:val="0"/>
        <w:autoSpaceDN w:val="0"/>
        <w:adjustRightInd w:val="0"/>
        <w:jc w:val="both"/>
        <w:rPr>
          <w:b/>
          <w:bCs/>
        </w:rPr>
      </w:pPr>
    </w:p>
    <w:p w:rsidR="00720373" w:rsidRPr="00720373" w:rsidRDefault="00720373" w:rsidP="00720373">
      <w:pPr>
        <w:overflowPunct w:val="0"/>
        <w:autoSpaceDE w:val="0"/>
        <w:autoSpaceDN w:val="0"/>
        <w:adjustRightInd w:val="0"/>
        <w:jc w:val="both"/>
        <w:rPr>
          <w:b/>
          <w:bCs/>
        </w:rPr>
      </w:pPr>
      <w:r w:rsidRPr="00720373">
        <w:rPr>
          <w:b/>
          <w:bCs/>
        </w:rPr>
        <w:t>1.Atbilde</w:t>
      </w:r>
    </w:p>
    <w:p w:rsidR="00720373" w:rsidRPr="00720373" w:rsidRDefault="00720373" w:rsidP="00720373">
      <w:pPr>
        <w:spacing w:before="120" w:after="120"/>
        <w:jc w:val="both"/>
      </w:pPr>
      <w:r w:rsidRPr="00720373">
        <w:t>Saskaņā ar Publisko iepirkumu likuma 46.panta ceturto daļu, 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720373" w:rsidRPr="00720373" w:rsidRDefault="00720373" w:rsidP="00720373">
      <w:pPr>
        <w:spacing w:before="120" w:after="120"/>
        <w:jc w:val="both"/>
      </w:pPr>
      <w:r w:rsidRPr="00720373">
        <w:t>Lai arī Publisko iepirkumu likums un Nolikums neliedz balstīties uz apakšuzņēmēju iespējām, tomēr konkrētajā gadījumā ir jāņem vērā turpmāk minētais. Ne publisko iepirkumu likums, ne arī Nolikums nenosaka, kāda darba daļa pretendentiem ir jānodod apakšuzņēmējam, ja pretendents balstās uz apakšuzņēmēja pieredzi vai iespējām, tomēr pretendenta pieredzes atbilstība izvirzītajai prasībai un pierādījumi attiecībā uz apakšuzņēmēja iesaisti līguma izpildē katrā konkrētajā gadījumā ir jāizvērtē kontekstā ar šīs prasības jēgu un mērķi. No Eiropas Savienības Tiesas spriedumā lietā C-176/98 (</w:t>
      </w:r>
      <w:proofErr w:type="spellStart"/>
      <w:r w:rsidRPr="00720373">
        <w:t>Holst</w:t>
      </w:r>
      <w:proofErr w:type="spellEnd"/>
      <w:r w:rsidRPr="00720373">
        <w:t xml:space="preserve"> Italia) norādītā izriet, ka attiecīgā direktīva atļauj piegādātājam atsaukties uz citu uzņēmēju iespējām, ar nosacījumu, ka piegādātājs spēj pierādīt, ka šie resursi, kas nepieciešami līguma izpildei, ir tiešām piegādātājam pieejami. Tāpat pieredzes attiecīgajā jomā pieejamības apliecināšanā ir vērā ņemams tieši no Eiropas Savienības Tiesas lietā C-176/98 (</w:t>
      </w:r>
      <w:proofErr w:type="spellStart"/>
      <w:r w:rsidRPr="00720373">
        <w:t>Holst</w:t>
      </w:r>
      <w:proofErr w:type="spellEnd"/>
      <w:r w:rsidRPr="00720373">
        <w:t xml:space="preserve"> Italia) sniegtajiem ģenerāladvokāta secinājumiem (55.punkts) izrietošais, ka atsauksmei, kas apliecina profesionālo pieredzi līguma izpildē, ir jābūt patiešām noderīgai un pielietojamai, un tam piegādātājam, uz kura pieredzi paļaujas, ir jānodrošina vismaz līguma vadīšana, tādējādi nodrošinot, ka tā tehniskās prasmes un pieredze ir noderīga. Skat. arī Iepirkumu uzraudzības biroja 2015.gada 14.augusta lēmumu Nr.4-1.2/15-245.</w:t>
      </w:r>
    </w:p>
    <w:p w:rsidR="00720373" w:rsidRPr="00720373" w:rsidRDefault="00720373" w:rsidP="00720373">
      <w:pPr>
        <w:spacing w:before="120" w:after="120"/>
        <w:jc w:val="both"/>
      </w:pPr>
      <w:r w:rsidRPr="00720373">
        <w:t xml:space="preserve">Līdz ar minēto secināms, ka gadījumā, ja pretendentam pašam nav nepieciešamās pieredzes un tas vēlas balstīties uz apakšuzņēmēja iespējām, tam būtu jānodod apakšuzņēmējam vismaz līguma vadīšana, kas ir pretrunā Būvniecības likumam. Galvenais būvdarbu veicējs būvniecību reglamentējošo normatīvo aktu izpratnē ir būvdarbu veicējs, kas piesaista citus atsevišķus būvdarbu veicējus, noslēdzot attiecīgus līgumus, un kura pienākums ir realizēt objektu dabā atbilstoši būvprojektam. Savukārt, galvenais būvdarbu veicējs nodod apakšuzņēmējam līguma </w:t>
      </w:r>
      <w:r w:rsidRPr="00720373">
        <w:lastRenderedPageBreak/>
        <w:t xml:space="preserve">daļu izpildei. Turklāt, atbilstoši Vispārīgo būvnoteikumu 95.punktam, būvdarbus veic sertificēta atbildīgā būvdarbu vadītāja vadībā, ko ieceļ galvenais būvdarbu veicējs. Apakšuzņēmējam nav tiesību iecelt atbildīgo būvdarbu vadītāju, kas liedz tam īstenot līguma vadīšanu kopumā. Līdz ar to, apakšuzņēmējs nevar uzņemties atbildību par objektu kopumā un izpildīt galvenā būvdarbu veicēja lomu. </w:t>
      </w:r>
    </w:p>
    <w:p w:rsidR="00720373" w:rsidRPr="00720373" w:rsidRDefault="00720373" w:rsidP="00720373">
      <w:pPr>
        <w:spacing w:before="120" w:after="120"/>
        <w:jc w:val="both"/>
      </w:pPr>
      <w:r w:rsidRPr="00720373">
        <w:t>Līdz ar to balstīšanās uz apakšuzņēmēja iespējām konkrētajā gadījumā nav piemērota Nolikuma 15.4.punktā prasītās pieredzes apliecināšanai.</w:t>
      </w:r>
    </w:p>
    <w:p w:rsidR="00720373" w:rsidRPr="00720373" w:rsidRDefault="00720373" w:rsidP="00720373">
      <w:pPr>
        <w:spacing w:before="120" w:after="120"/>
        <w:jc w:val="both"/>
      </w:pPr>
      <w:r w:rsidRPr="00720373">
        <w:t>Saskaņā ar Publisko iepirkumu likumu un Nolikumu, piegādātāju apvienības var iesniegt piedāvājumus un atbilstību kvalifikācijas prasībām, kas izvirzītas saskaņā ar Publisko iepirkumu likuma 46.pantu, Pretendents kā piegādātāju apvienība var apliecināt kopumā (piemēram, prasību par nepieciešamo finanšu apgrozījumu var apliecināt tikai viens no piegādātāju apvienības dalībniekiem vai arī vairāki dalībnieki kopumā u.tml.).</w:t>
      </w:r>
    </w:p>
    <w:p w:rsidR="00DE7E44" w:rsidRPr="00A21D70" w:rsidRDefault="00DE7E44" w:rsidP="002E390F">
      <w:pPr>
        <w:overflowPunct w:val="0"/>
        <w:autoSpaceDE w:val="0"/>
        <w:autoSpaceDN w:val="0"/>
        <w:adjustRightInd w:val="0"/>
        <w:jc w:val="both"/>
      </w:pPr>
    </w:p>
    <w:p w:rsidR="00DF5FC6" w:rsidRPr="00A21D70" w:rsidRDefault="00DF5FC6" w:rsidP="00F36D00">
      <w:pPr>
        <w:jc w:val="right"/>
      </w:pPr>
      <w:r w:rsidRPr="00A21D70">
        <w:t>Iepirkumu komisija</w:t>
      </w:r>
    </w:p>
    <w:sectPr w:rsidR="00DF5FC6" w:rsidRPr="00A21D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4D8"/>
    <w:multiLevelType w:val="hybridMultilevel"/>
    <w:tmpl w:val="0EA8B7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55B4150"/>
    <w:multiLevelType w:val="hybridMultilevel"/>
    <w:tmpl w:val="04241996"/>
    <w:lvl w:ilvl="0" w:tplc="7B82A7FC">
      <w:start w:val="1"/>
      <w:numFmt w:val="decimal"/>
      <w:lvlText w:val="%1."/>
      <w:lvlJc w:val="left"/>
      <w:pPr>
        <w:ind w:left="720" w:hanging="360"/>
      </w:pPr>
      <w:rPr>
        <w:rFonts w:hint="default"/>
        <w:b/>
        <w:i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A7071"/>
    <w:multiLevelType w:val="multilevel"/>
    <w:tmpl w:val="E24050FC"/>
    <w:lvl w:ilvl="0">
      <w:start w:val="1"/>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i w:val="0"/>
        <w:u w:val="none"/>
      </w:rPr>
    </w:lvl>
    <w:lvl w:ilvl="4">
      <w:start w:val="1"/>
      <w:numFmt w:val="decimal"/>
      <w:lvlText w:val="%1.%2.%3.%4.%5."/>
      <w:lvlJc w:val="left"/>
      <w:pPr>
        <w:ind w:left="1080" w:hanging="1080"/>
      </w:pPr>
      <w:rPr>
        <w:rFonts w:hint="default"/>
        <w:b/>
        <w:i w:val="0"/>
        <w:u w:val="none"/>
      </w:rPr>
    </w:lvl>
    <w:lvl w:ilvl="5">
      <w:start w:val="1"/>
      <w:numFmt w:val="decimal"/>
      <w:lvlText w:val="%1.%2.%3.%4.%5.%6."/>
      <w:lvlJc w:val="left"/>
      <w:pPr>
        <w:ind w:left="1080" w:hanging="1080"/>
      </w:pPr>
      <w:rPr>
        <w:rFonts w:hint="default"/>
        <w:b/>
        <w:i w:val="0"/>
        <w:u w:val="none"/>
      </w:rPr>
    </w:lvl>
    <w:lvl w:ilvl="6">
      <w:start w:val="1"/>
      <w:numFmt w:val="decimal"/>
      <w:lvlText w:val="%1.%2.%3.%4.%5.%6.%7."/>
      <w:lvlJc w:val="left"/>
      <w:pPr>
        <w:ind w:left="1440" w:hanging="1440"/>
      </w:pPr>
      <w:rPr>
        <w:rFonts w:hint="default"/>
        <w:b/>
        <w:i w:val="0"/>
        <w:u w:val="none"/>
      </w:rPr>
    </w:lvl>
    <w:lvl w:ilvl="7">
      <w:start w:val="1"/>
      <w:numFmt w:val="decimal"/>
      <w:lvlText w:val="%1.%2.%3.%4.%5.%6.%7.%8."/>
      <w:lvlJc w:val="left"/>
      <w:pPr>
        <w:ind w:left="1440" w:hanging="1440"/>
      </w:pPr>
      <w:rPr>
        <w:rFonts w:hint="default"/>
        <w:b/>
        <w:i w:val="0"/>
        <w:u w:val="none"/>
      </w:rPr>
    </w:lvl>
    <w:lvl w:ilvl="8">
      <w:start w:val="1"/>
      <w:numFmt w:val="decimal"/>
      <w:lvlText w:val="%1.%2.%3.%4.%5.%6.%7.%8.%9."/>
      <w:lvlJc w:val="left"/>
      <w:pPr>
        <w:ind w:left="1800" w:hanging="1800"/>
      </w:pPr>
      <w:rPr>
        <w:rFonts w:hint="default"/>
        <w:b/>
        <w:i w:val="0"/>
        <w:u w:val="none"/>
      </w:rPr>
    </w:lvl>
  </w:abstractNum>
  <w:abstractNum w:abstractNumId="3"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056B28"/>
    <w:rsid w:val="00066130"/>
    <w:rsid w:val="0011279A"/>
    <w:rsid w:val="002245B9"/>
    <w:rsid w:val="002246E8"/>
    <w:rsid w:val="002B3CF5"/>
    <w:rsid w:val="002C5BE4"/>
    <w:rsid w:val="002E390F"/>
    <w:rsid w:val="0031286F"/>
    <w:rsid w:val="00365318"/>
    <w:rsid w:val="003E1CD1"/>
    <w:rsid w:val="003F1551"/>
    <w:rsid w:val="00433522"/>
    <w:rsid w:val="006178C5"/>
    <w:rsid w:val="0072013B"/>
    <w:rsid w:val="00720373"/>
    <w:rsid w:val="00730044"/>
    <w:rsid w:val="00773F86"/>
    <w:rsid w:val="007B56A7"/>
    <w:rsid w:val="007D0945"/>
    <w:rsid w:val="00800752"/>
    <w:rsid w:val="00876F2A"/>
    <w:rsid w:val="0090357E"/>
    <w:rsid w:val="00A21D70"/>
    <w:rsid w:val="00AE29CE"/>
    <w:rsid w:val="00AF0D47"/>
    <w:rsid w:val="00B545DD"/>
    <w:rsid w:val="00B61043"/>
    <w:rsid w:val="00B72DFD"/>
    <w:rsid w:val="00B91F89"/>
    <w:rsid w:val="00BA483E"/>
    <w:rsid w:val="00BC6354"/>
    <w:rsid w:val="00C028B1"/>
    <w:rsid w:val="00C34651"/>
    <w:rsid w:val="00C92D42"/>
    <w:rsid w:val="00DB00BD"/>
    <w:rsid w:val="00DE7728"/>
    <w:rsid w:val="00DE7E44"/>
    <w:rsid w:val="00DF5FC6"/>
    <w:rsid w:val="00E07FB1"/>
    <w:rsid w:val="00F05D31"/>
    <w:rsid w:val="00F16CCA"/>
    <w:rsid w:val="00F261E8"/>
    <w:rsid w:val="00F36D00"/>
    <w:rsid w:val="00F50A62"/>
    <w:rsid w:val="00F524E5"/>
    <w:rsid w:val="00F7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3BA9-9B0C-4DF2-9A56-7ECD76EB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 w:type="paragraph" w:styleId="BalloonText">
    <w:name w:val="Balloon Text"/>
    <w:basedOn w:val="Normal"/>
    <w:link w:val="BalloonTextChar"/>
    <w:uiPriority w:val="99"/>
    <w:semiHidden/>
    <w:unhideWhenUsed/>
    <w:rsid w:val="00F05D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31"/>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311">
      <w:bodyDiv w:val="1"/>
      <w:marLeft w:val="0"/>
      <w:marRight w:val="0"/>
      <w:marTop w:val="0"/>
      <w:marBottom w:val="0"/>
      <w:divBdr>
        <w:top w:val="none" w:sz="0" w:space="0" w:color="auto"/>
        <w:left w:val="none" w:sz="0" w:space="0" w:color="auto"/>
        <w:bottom w:val="none" w:sz="0" w:space="0" w:color="auto"/>
        <w:right w:val="none" w:sz="0" w:space="0" w:color="auto"/>
      </w:divBdr>
    </w:div>
    <w:div w:id="625815874">
      <w:bodyDiv w:val="1"/>
      <w:marLeft w:val="0"/>
      <w:marRight w:val="0"/>
      <w:marTop w:val="0"/>
      <w:marBottom w:val="0"/>
      <w:divBdr>
        <w:top w:val="none" w:sz="0" w:space="0" w:color="auto"/>
        <w:left w:val="none" w:sz="0" w:space="0" w:color="auto"/>
        <w:bottom w:val="none" w:sz="0" w:space="0" w:color="auto"/>
        <w:right w:val="none" w:sz="0" w:space="0" w:color="auto"/>
      </w:divBdr>
    </w:div>
    <w:div w:id="826214079">
      <w:bodyDiv w:val="1"/>
      <w:marLeft w:val="0"/>
      <w:marRight w:val="0"/>
      <w:marTop w:val="0"/>
      <w:marBottom w:val="0"/>
      <w:divBdr>
        <w:top w:val="none" w:sz="0" w:space="0" w:color="auto"/>
        <w:left w:val="none" w:sz="0" w:space="0" w:color="auto"/>
        <w:bottom w:val="none" w:sz="0" w:space="0" w:color="auto"/>
        <w:right w:val="none" w:sz="0" w:space="0" w:color="auto"/>
      </w:divBdr>
    </w:div>
    <w:div w:id="1523932469">
      <w:bodyDiv w:val="1"/>
      <w:marLeft w:val="0"/>
      <w:marRight w:val="0"/>
      <w:marTop w:val="0"/>
      <w:marBottom w:val="0"/>
      <w:divBdr>
        <w:top w:val="none" w:sz="0" w:space="0" w:color="auto"/>
        <w:left w:val="none" w:sz="0" w:space="0" w:color="auto"/>
        <w:bottom w:val="none" w:sz="0" w:space="0" w:color="auto"/>
        <w:right w:val="none" w:sz="0" w:space="0" w:color="auto"/>
      </w:divBdr>
    </w:div>
    <w:div w:id="1629386291">
      <w:bodyDiv w:val="1"/>
      <w:marLeft w:val="0"/>
      <w:marRight w:val="0"/>
      <w:marTop w:val="0"/>
      <w:marBottom w:val="0"/>
      <w:divBdr>
        <w:top w:val="none" w:sz="0" w:space="0" w:color="auto"/>
        <w:left w:val="none" w:sz="0" w:space="0" w:color="auto"/>
        <w:bottom w:val="none" w:sz="0" w:space="0" w:color="auto"/>
        <w:right w:val="none" w:sz="0" w:space="0" w:color="auto"/>
      </w:divBdr>
    </w:div>
    <w:div w:id="1649630606">
      <w:bodyDiv w:val="1"/>
      <w:marLeft w:val="0"/>
      <w:marRight w:val="0"/>
      <w:marTop w:val="0"/>
      <w:marBottom w:val="0"/>
      <w:divBdr>
        <w:top w:val="none" w:sz="0" w:space="0" w:color="auto"/>
        <w:left w:val="none" w:sz="0" w:space="0" w:color="auto"/>
        <w:bottom w:val="none" w:sz="0" w:space="0" w:color="auto"/>
        <w:right w:val="none" w:sz="0" w:space="0" w:color="auto"/>
      </w:divBdr>
    </w:div>
    <w:div w:id="187217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7168C-1E1E-4E52-9F93-DC1830E9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Olga Strelkova</cp:lastModifiedBy>
  <cp:revision>7</cp:revision>
  <cp:lastPrinted>2017-11-30T14:27:00Z</cp:lastPrinted>
  <dcterms:created xsi:type="dcterms:W3CDTF">2018-03-09T11:51:00Z</dcterms:created>
  <dcterms:modified xsi:type="dcterms:W3CDTF">2018-09-19T13:27:00Z</dcterms:modified>
</cp:coreProperties>
</file>