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3" w:rsidRPr="00803828" w:rsidRDefault="00D154EA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 w:rsidRPr="00803828">
        <w:rPr>
          <w:rFonts w:eastAsia="Times New Roman" w:hAnsi="Times New Roman" w:cs="Times New Roman"/>
          <w:color w:val="222222"/>
        </w:rPr>
        <w:t> </w:t>
      </w:r>
      <w:r w:rsidR="00F94A83" w:rsidRPr="00803828">
        <w:rPr>
          <w:rFonts w:hAnsi="Times New Roman" w:cs="Times New Roman"/>
        </w:rPr>
        <w:t>Apstiprināts</w:t>
      </w:r>
    </w:p>
    <w:p w:rsidR="00F94A83" w:rsidRPr="00803828" w:rsidRDefault="00F94A83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 w:rsidRPr="00803828">
        <w:rPr>
          <w:rFonts w:hAnsi="Times New Roman" w:cs="Times New Roman"/>
          <w:lang w:val="sv-SE"/>
        </w:rPr>
        <w:t>AS ,,Daugavpils satiksme</w:t>
      </w:r>
      <w:r w:rsidRPr="00803828">
        <w:rPr>
          <w:rFonts w:hAnsi="Times New Roman" w:cs="Times New Roman"/>
        </w:rPr>
        <w:t>”</w:t>
      </w:r>
    </w:p>
    <w:p w:rsidR="00F94A83" w:rsidRPr="00803828" w:rsidRDefault="00F94A83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 w:rsidRPr="00803828">
        <w:rPr>
          <w:rFonts w:hAnsi="Times New Roman" w:cs="Times New Roman"/>
        </w:rPr>
        <w:t>Iepirkuma komisijas sēdē</w:t>
      </w:r>
    </w:p>
    <w:p w:rsidR="00F94A83" w:rsidRPr="00803828" w:rsidRDefault="00FC1773" w:rsidP="00C1387A">
      <w:pPr>
        <w:pStyle w:val="Header"/>
        <w:tabs>
          <w:tab w:val="clear" w:pos="8306"/>
          <w:tab w:val="right" w:pos="8280"/>
        </w:tabs>
        <w:jc w:val="right"/>
        <w:rPr>
          <w:rFonts w:eastAsia="Times" w:hAnsi="Times New Roman" w:cs="Times New Roman"/>
        </w:rPr>
      </w:pPr>
      <w:r>
        <w:rPr>
          <w:rFonts w:hAnsi="Times New Roman" w:cs="Times New Roman"/>
          <w:lang w:val="pt-PT"/>
        </w:rPr>
        <w:t>2016.gada 7</w:t>
      </w:r>
      <w:r w:rsidR="00F94A83" w:rsidRPr="00803828">
        <w:rPr>
          <w:rFonts w:hAnsi="Times New Roman" w:cs="Times New Roman"/>
          <w:lang w:val="pt-PT"/>
        </w:rPr>
        <w:t>.</w:t>
      </w:r>
      <w:r>
        <w:rPr>
          <w:rFonts w:hAnsi="Times New Roman" w:cs="Times New Roman"/>
          <w:lang w:val="pt-PT"/>
        </w:rPr>
        <w:t xml:space="preserve"> </w:t>
      </w:r>
      <w:bookmarkStart w:id="0" w:name="_GoBack"/>
      <w:bookmarkEnd w:id="0"/>
      <w:r w:rsidR="00F94A83" w:rsidRPr="00803828">
        <w:rPr>
          <w:rFonts w:hAnsi="Times New Roman" w:cs="Times New Roman"/>
          <w:lang w:val="pt-PT"/>
        </w:rPr>
        <w:t>novembrī</w:t>
      </w:r>
    </w:p>
    <w:p w:rsidR="00F94A83" w:rsidRPr="00803828" w:rsidRDefault="00F94A83" w:rsidP="00C1387A">
      <w:pPr>
        <w:pStyle w:val="Body"/>
        <w:spacing w:after="0" w:line="240" w:lineRule="auto"/>
        <w:jc w:val="right"/>
        <w:rPr>
          <w:rFonts w:ascii="Times New Roman" w:eastAsia="Times" w:hAnsi="Times New Roman" w:cs="Times New Roman"/>
          <w:sz w:val="24"/>
          <w:szCs w:val="24"/>
        </w:rPr>
      </w:pPr>
    </w:p>
    <w:p w:rsidR="00F94A83" w:rsidRPr="00803828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</w:p>
    <w:p w:rsidR="00F94A83" w:rsidRPr="00803828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  <w:r w:rsidRPr="00803828">
        <w:rPr>
          <w:rFonts w:hAnsi="Times New Roman" w:cs="Times New Roman"/>
          <w:b/>
          <w:bCs/>
          <w:lang w:val="pt-PT"/>
        </w:rPr>
        <w:t>Iepirkuma identifik</w:t>
      </w:r>
      <w:proofErr w:type="spellStart"/>
      <w:r w:rsidRPr="00803828">
        <w:rPr>
          <w:rFonts w:hAnsi="Times New Roman" w:cs="Times New Roman"/>
          <w:b/>
          <w:bCs/>
        </w:rPr>
        <w:t>ācijas</w:t>
      </w:r>
      <w:proofErr w:type="spellEnd"/>
      <w:r w:rsidRPr="00803828">
        <w:rPr>
          <w:rFonts w:hAnsi="Times New Roman" w:cs="Times New Roman"/>
          <w:b/>
          <w:bCs/>
        </w:rPr>
        <w:t xml:space="preserve"> </w:t>
      </w:r>
      <w:proofErr w:type="spellStart"/>
      <w:r w:rsidRPr="00803828">
        <w:rPr>
          <w:rFonts w:hAnsi="Times New Roman" w:cs="Times New Roman"/>
          <w:b/>
          <w:bCs/>
        </w:rPr>
        <w:t>Nr</w:t>
      </w:r>
      <w:r w:rsidRPr="00803828">
        <w:rPr>
          <w:rFonts w:hAnsi="Times New Roman" w:cs="Times New Roman"/>
        </w:rPr>
        <w:t>.:ASDS</w:t>
      </w:r>
      <w:proofErr w:type="spellEnd"/>
      <w:r w:rsidRPr="00803828">
        <w:rPr>
          <w:rFonts w:hAnsi="Times New Roman" w:cs="Times New Roman"/>
        </w:rPr>
        <w:t>/2016/71/KF</w:t>
      </w:r>
    </w:p>
    <w:p w:rsidR="00F94A83" w:rsidRPr="00803828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  <w:r w:rsidRPr="00803828">
        <w:rPr>
          <w:rFonts w:hAnsi="Times New Roman" w:cs="Times New Roman"/>
          <w:b/>
          <w:bCs/>
        </w:rPr>
        <w:t>Nosaukums:</w:t>
      </w:r>
      <w:r w:rsidRPr="00803828">
        <w:rPr>
          <w:rFonts w:hAnsi="Times New Roman" w:cs="Times New Roman"/>
        </w:rPr>
        <w:t>„</w:t>
      </w:r>
      <w:r w:rsidRPr="00803828">
        <w:rPr>
          <w:rFonts w:hAnsi="Times New Roman" w:cs="Times New Roman"/>
          <w:lang w:val="sv-SE"/>
        </w:rPr>
        <w:t>Daugavpils pils</w:t>
      </w:r>
      <w:proofErr w:type="spellStart"/>
      <w:r w:rsidRPr="00803828">
        <w:rPr>
          <w:rFonts w:hAnsi="Times New Roman" w:cs="Times New Roman"/>
        </w:rPr>
        <w:t>ētas</w:t>
      </w:r>
      <w:proofErr w:type="spellEnd"/>
      <w:r w:rsidRPr="00803828">
        <w:rPr>
          <w:rFonts w:hAnsi="Times New Roman" w:cs="Times New Roman"/>
        </w:rPr>
        <w:t xml:space="preserve"> tramvaju līnijas </w:t>
      </w:r>
      <w:proofErr w:type="spellStart"/>
      <w:r w:rsidRPr="00803828">
        <w:rPr>
          <w:rFonts w:hAnsi="Times New Roman" w:cs="Times New Roman"/>
        </w:rPr>
        <w:t>pārbū</w:t>
      </w:r>
      <w:proofErr w:type="spellEnd"/>
      <w:r w:rsidRPr="00803828">
        <w:rPr>
          <w:rFonts w:hAnsi="Times New Roman" w:cs="Times New Roman"/>
          <w:lang w:val="es-ES_tradnl"/>
        </w:rPr>
        <w:t xml:space="preserve">ve </w:t>
      </w:r>
      <w:proofErr w:type="spellStart"/>
      <w:r w:rsidRPr="00803828">
        <w:rPr>
          <w:rFonts w:hAnsi="Times New Roman" w:cs="Times New Roman"/>
          <w:lang w:val="es-ES_tradnl"/>
        </w:rPr>
        <w:t>posmos</w:t>
      </w:r>
      <w:proofErr w:type="spellEnd"/>
      <w:r w:rsidRPr="00803828">
        <w:rPr>
          <w:rFonts w:hAnsi="Times New Roman" w:cs="Times New Roman"/>
          <w:lang w:val="es-ES_tradnl"/>
        </w:rPr>
        <w:t xml:space="preserve"> </w:t>
      </w:r>
      <w:proofErr w:type="spellStart"/>
      <w:r w:rsidRPr="00803828">
        <w:rPr>
          <w:rFonts w:hAnsi="Times New Roman" w:cs="Times New Roman"/>
          <w:lang w:val="es-ES_tradnl"/>
        </w:rPr>
        <w:t>Vien</w:t>
      </w:r>
      <w:r w:rsidRPr="00803828">
        <w:rPr>
          <w:rFonts w:hAnsi="Times New Roman" w:cs="Times New Roman"/>
        </w:rPr>
        <w:t>ības</w:t>
      </w:r>
      <w:proofErr w:type="spellEnd"/>
      <w:r w:rsidRPr="00803828">
        <w:rPr>
          <w:rFonts w:hAnsi="Times New Roman" w:cs="Times New Roman"/>
        </w:rPr>
        <w:t xml:space="preserve"> iela - Stacijas iela, Parādes iela - Cietoksnis un 18.Novembra un Ventspils ielu krustojumā”</w:t>
      </w:r>
    </w:p>
    <w:p w:rsidR="00F94A83" w:rsidRPr="00803828" w:rsidRDefault="00F94A83" w:rsidP="00803828">
      <w:pPr>
        <w:pStyle w:val="Header"/>
        <w:tabs>
          <w:tab w:val="clear" w:pos="8306"/>
          <w:tab w:val="right" w:pos="8280"/>
        </w:tabs>
        <w:jc w:val="both"/>
        <w:rPr>
          <w:rFonts w:eastAsia="Times" w:hAnsi="Times New Roman" w:cs="Times New Roman"/>
        </w:rPr>
      </w:pPr>
      <w:r w:rsidRPr="00803828">
        <w:rPr>
          <w:rFonts w:hAnsi="Times New Roman" w:cs="Times New Roman"/>
          <w:lang w:val="es-ES_tradnl"/>
        </w:rPr>
        <w:t>A un B da</w:t>
      </w:r>
      <w:proofErr w:type="spellStart"/>
      <w:r w:rsidRPr="00803828">
        <w:rPr>
          <w:rFonts w:hAnsi="Times New Roman" w:cs="Times New Roman"/>
        </w:rPr>
        <w:t>ļa</w:t>
      </w:r>
      <w:proofErr w:type="spellEnd"/>
    </w:p>
    <w:p w:rsidR="00F94A83" w:rsidRPr="00803828" w:rsidRDefault="00F94A83" w:rsidP="00803828">
      <w:pPr>
        <w:pStyle w:val="Body"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94A83" w:rsidRPr="00803828" w:rsidRDefault="00F94A83" w:rsidP="00C1387A">
      <w:pPr>
        <w:pStyle w:val="Body"/>
        <w:spacing w:after="0" w:line="240" w:lineRule="auto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803828">
        <w:rPr>
          <w:rFonts w:ascii="Times New Roman" w:hAnsi="Times New Roman" w:cs="Times New Roman"/>
          <w:b/>
          <w:bCs/>
          <w:sz w:val="24"/>
          <w:szCs w:val="24"/>
          <w:lang w:val="sv-SE"/>
        </w:rPr>
        <w:t>Atbildes Nr.</w:t>
      </w:r>
      <w:r w:rsidR="00B45B6E" w:rsidRPr="00803828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F94A83" w:rsidRPr="00803828" w:rsidRDefault="00F94A83" w:rsidP="00C1387A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828">
        <w:rPr>
          <w:rFonts w:ascii="Times New Roman" w:hAnsi="Times New Roman" w:cs="Times New Roman"/>
          <w:b/>
          <w:bCs/>
          <w:sz w:val="24"/>
          <w:szCs w:val="24"/>
        </w:rPr>
        <w:t>uz ieinteresēto piegādātāju jautājumiem</w:t>
      </w:r>
    </w:p>
    <w:p w:rsidR="00F94A83" w:rsidRPr="00803828" w:rsidRDefault="00F94A83" w:rsidP="00C1387A">
      <w:pPr>
        <w:pStyle w:val="ListParagraph"/>
        <w:pBdr>
          <w:top w:val="nil"/>
        </w:pBdr>
        <w:ind w:left="860" w:hanging="71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03828" w:rsidRPr="00803828" w:rsidRDefault="00803828" w:rsidP="00803828">
      <w:pPr>
        <w:ind w:firstLine="709"/>
        <w:jc w:val="both"/>
        <w:rPr>
          <w:rFonts w:ascii="Times New Roman" w:hAnsi="Times New Roman" w:cs="Times New Roman"/>
        </w:rPr>
      </w:pPr>
      <w:r w:rsidRPr="00803828">
        <w:rPr>
          <w:rFonts w:ascii="Times New Roman" w:hAnsi="Times New Roman" w:cs="Times New Roman"/>
          <w:color w:val="000000"/>
          <w:sz w:val="24"/>
          <w:szCs w:val="24"/>
        </w:rPr>
        <w:t>AS ,,Daugavpils satiksme’’ Iepirkuma komisija skaidro:</w:t>
      </w:r>
    </w:p>
    <w:p w:rsidR="00803828" w:rsidRPr="00803828" w:rsidRDefault="00803828" w:rsidP="00803828">
      <w:pPr>
        <w:ind w:left="420"/>
        <w:jc w:val="both"/>
        <w:rPr>
          <w:rFonts w:ascii="Times New Roman" w:hAnsi="Times New Roman" w:cs="Times New Roman"/>
        </w:rPr>
      </w:pPr>
      <w:r w:rsidRPr="00803828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1. Jautājums:</w:t>
      </w:r>
    </w:p>
    <w:p w:rsidR="00803828" w:rsidRPr="00803828" w:rsidRDefault="00803828" w:rsidP="00803828">
      <w:pPr>
        <w:jc w:val="both"/>
        <w:rPr>
          <w:rFonts w:ascii="Times New Roman" w:hAnsi="Times New Roman" w:cs="Times New Roman"/>
        </w:rPr>
      </w:pPr>
      <w:r w:rsidRPr="00803828">
        <w:rPr>
          <w:rFonts w:ascii="Times New Roman" w:hAnsi="Times New Roman" w:cs="Times New Roman"/>
          <w:sz w:val="24"/>
          <w:szCs w:val="24"/>
        </w:rPr>
        <w:t xml:space="preserve">A un B daļas, Darbu apjomu saraksts Nr.1-1 un Nr.2-1 “Tramvaju kontakttīkla </w:t>
      </w:r>
      <w:proofErr w:type="spellStart"/>
      <w:r w:rsidRPr="00803828">
        <w:rPr>
          <w:rFonts w:ascii="Times New Roman" w:hAnsi="Times New Roman" w:cs="Times New Roman"/>
          <w:sz w:val="24"/>
          <w:szCs w:val="24"/>
        </w:rPr>
        <w:t>pāveides</w:t>
      </w:r>
      <w:proofErr w:type="spellEnd"/>
      <w:r w:rsidRPr="00803828">
        <w:rPr>
          <w:rFonts w:ascii="Times New Roman" w:hAnsi="Times New Roman" w:cs="Times New Roman"/>
          <w:sz w:val="24"/>
          <w:szCs w:val="24"/>
        </w:rPr>
        <w:t xml:space="preserve">”. Norādītas Delta piekares komplekta sastāvdaļas, bet šķietami trūkst </w:t>
      </w:r>
      <w:proofErr w:type="spellStart"/>
      <w:r w:rsidRPr="00803828">
        <w:rPr>
          <w:rFonts w:ascii="Times New Roman" w:hAnsi="Times New Roman" w:cs="Times New Roman"/>
          <w:sz w:val="24"/>
          <w:szCs w:val="24"/>
        </w:rPr>
        <w:t>Minorok</w:t>
      </w:r>
      <w:proofErr w:type="spellEnd"/>
      <w:r w:rsidRPr="00803828">
        <w:rPr>
          <w:rFonts w:ascii="Times New Roman" w:hAnsi="Times New Roman" w:cs="Times New Roman"/>
          <w:sz w:val="24"/>
          <w:szCs w:val="24"/>
        </w:rPr>
        <w:t xml:space="preserve"> kabelis 9 mm (numurs 275109, saite: </w:t>
      </w:r>
      <w:hyperlink r:id="rId6" w:history="1">
        <w:r w:rsidRPr="00803828">
          <w:rPr>
            <w:rStyle w:val="Hyperlink"/>
            <w:rFonts w:ascii="Times New Roman" w:hAnsi="Times New Roman" w:cs="Times New Roman"/>
            <w:sz w:val="24"/>
            <w:szCs w:val="24"/>
          </w:rPr>
          <w:t>http://www.elektroline.cz/cat1.php?id=275109&amp;g=&amp;from=minicat&amp;search=minorok</w:t>
        </w:r>
      </w:hyperlink>
      <w:r w:rsidRPr="00803828">
        <w:rPr>
          <w:rFonts w:ascii="Times New Roman" w:hAnsi="Times New Roman" w:cs="Times New Roman"/>
          <w:sz w:val="24"/>
          <w:szCs w:val="24"/>
        </w:rPr>
        <w:t xml:space="preserve">  Lūdzam norādīt, vai šāds komponents ir vajadzīgs un kurā pozīcijā pasūtītājs ir ievērtējis šo komponentu “</w:t>
      </w:r>
      <w:proofErr w:type="spellStart"/>
      <w:r w:rsidRPr="00803828">
        <w:rPr>
          <w:rFonts w:ascii="Times New Roman" w:hAnsi="Times New Roman" w:cs="Times New Roman"/>
          <w:sz w:val="24"/>
          <w:szCs w:val="24"/>
        </w:rPr>
        <w:t>Minorok</w:t>
      </w:r>
      <w:proofErr w:type="spellEnd"/>
      <w:r w:rsidRPr="00803828">
        <w:rPr>
          <w:rFonts w:ascii="Times New Roman" w:hAnsi="Times New Roman" w:cs="Times New Roman"/>
          <w:sz w:val="24"/>
          <w:szCs w:val="24"/>
        </w:rPr>
        <w:t xml:space="preserve"> kabelis 9 mm”?</w:t>
      </w:r>
    </w:p>
    <w:p w:rsidR="00803828" w:rsidRPr="00803828" w:rsidRDefault="00803828" w:rsidP="0080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828" w:rsidRPr="00803828" w:rsidRDefault="00803828" w:rsidP="00803828">
      <w:pPr>
        <w:jc w:val="both"/>
        <w:rPr>
          <w:rFonts w:ascii="Times New Roman" w:hAnsi="Times New Roman" w:cs="Times New Roman"/>
        </w:rPr>
      </w:pPr>
      <w:r w:rsidRPr="00803828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1.  jautājumu</w:t>
      </w:r>
    </w:p>
    <w:p w:rsidR="00803828" w:rsidRPr="00803828" w:rsidRDefault="00803828" w:rsidP="00803828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803828">
        <w:rPr>
          <w:rFonts w:ascii="Times New Roman" w:hAnsi="Times New Roman" w:cs="Times New Roman"/>
        </w:rPr>
        <w:t>Elektroline</w:t>
      </w:r>
      <w:proofErr w:type="spellEnd"/>
      <w:r w:rsidRPr="00803828">
        <w:rPr>
          <w:rFonts w:ascii="Times New Roman" w:hAnsi="Times New Roman" w:cs="Times New Roman"/>
        </w:rPr>
        <w:t xml:space="preserve"> ir elektrotransporta detaļu rūpnīca, kuras izstrādājumu katalogs ir ņemts par pamatu projekta detaļu izvēlei. Latvijā (Rīgā un Liepājā) jau daudzus gadus ar labiem panākumiem Deltas </w:t>
      </w:r>
      <w:proofErr w:type="spellStart"/>
      <w:r w:rsidRPr="00803828">
        <w:rPr>
          <w:rFonts w:ascii="Times New Roman" w:hAnsi="Times New Roman" w:cs="Times New Roman"/>
        </w:rPr>
        <w:t>uzkarsistēmā</w:t>
      </w:r>
      <w:proofErr w:type="spellEnd"/>
      <w:r w:rsidRPr="00803828">
        <w:rPr>
          <w:rFonts w:ascii="Times New Roman" w:hAnsi="Times New Roman" w:cs="Times New Roman"/>
        </w:rPr>
        <w:t xml:space="preserve"> </w:t>
      </w:r>
      <w:proofErr w:type="spellStart"/>
      <w:r w:rsidRPr="00803828">
        <w:rPr>
          <w:rFonts w:ascii="Times New Roman" w:hAnsi="Times New Roman" w:cs="Times New Roman"/>
        </w:rPr>
        <w:t>Minorok</w:t>
      </w:r>
      <w:proofErr w:type="spellEnd"/>
      <w:r w:rsidRPr="00803828">
        <w:rPr>
          <w:rFonts w:ascii="Times New Roman" w:hAnsi="Times New Roman" w:cs="Times New Roman"/>
        </w:rPr>
        <w:t xml:space="preserve"> troses vietā tiek pielietota PF11 </w:t>
      </w:r>
      <w:proofErr w:type="spellStart"/>
      <w:r w:rsidRPr="00803828">
        <w:rPr>
          <w:rFonts w:ascii="Times New Roman" w:hAnsi="Times New Roman" w:cs="Times New Roman"/>
        </w:rPr>
        <w:t>parafiltrose</w:t>
      </w:r>
      <w:proofErr w:type="spellEnd"/>
      <w:r w:rsidRPr="00803828">
        <w:rPr>
          <w:rFonts w:ascii="Times New Roman" w:hAnsi="Times New Roman" w:cs="Times New Roman"/>
        </w:rPr>
        <w:t>, kura ir iekļauta kopējā materiālu sarakstā. Priekšrocības: unificēti materiāli, drošums, labāk pielāgota Latvijas laika apstākļiem, pārbaudīts praksē.</w:t>
      </w:r>
    </w:p>
    <w:p w:rsidR="00803828" w:rsidRPr="00803828" w:rsidRDefault="00803828" w:rsidP="00803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828" w:rsidRPr="00803828" w:rsidRDefault="00803828" w:rsidP="00803828">
      <w:pPr>
        <w:ind w:left="420"/>
        <w:jc w:val="both"/>
        <w:rPr>
          <w:rFonts w:ascii="Times New Roman" w:hAnsi="Times New Roman" w:cs="Times New Roman"/>
        </w:rPr>
      </w:pPr>
      <w:r w:rsidRPr="00803828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2. Jautājums:</w:t>
      </w:r>
    </w:p>
    <w:p w:rsidR="00803828" w:rsidRPr="00803828" w:rsidRDefault="00803828" w:rsidP="00803828">
      <w:pPr>
        <w:jc w:val="both"/>
        <w:rPr>
          <w:rFonts w:ascii="Times New Roman" w:hAnsi="Times New Roman" w:cs="Times New Roman"/>
        </w:rPr>
      </w:pPr>
      <w:r w:rsidRPr="0080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828">
        <w:rPr>
          <w:rFonts w:ascii="Times New Roman" w:hAnsi="Times New Roman" w:cs="Times New Roman"/>
          <w:sz w:val="24"/>
          <w:szCs w:val="24"/>
        </w:rPr>
        <w:t>B daļa, Darbu apjomu saraksts Nr.2-1 “Tramvaju kontakttīkla pārveides” satur pozīcijas 3.28., 3.30 un 3.38. ar mērvienību “gabali” un diviem decimālcipariem aiz komata. Vai mērvienību vērtības ir norādītas korekti un tieši šādas mērvienības izmantot aprēķinos?</w:t>
      </w:r>
    </w:p>
    <w:p w:rsidR="00803828" w:rsidRPr="00803828" w:rsidRDefault="00803828" w:rsidP="008038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475"/>
        <w:gridCol w:w="4271"/>
        <w:gridCol w:w="760"/>
        <w:gridCol w:w="828"/>
      </w:tblGrid>
      <w:tr w:rsidR="00803828" w:rsidRPr="00803828" w:rsidTr="002F6335">
        <w:trPr>
          <w:trHeight w:val="2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3.28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 </w:t>
            </w:r>
          </w:p>
        </w:tc>
        <w:tc>
          <w:tcPr>
            <w:tcW w:w="4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Skritulis Delta piekarei ar dakšu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proofErr w:type="spellStart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gb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b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b/>
                <w:sz w:val="20"/>
                <w:lang w:eastAsia="lv-LV"/>
              </w:rPr>
              <w:t>16,17</w:t>
            </w:r>
          </w:p>
        </w:tc>
      </w:tr>
      <w:tr w:rsidR="00803828" w:rsidRPr="00803828" w:rsidTr="002F6335">
        <w:trPr>
          <w:trHeight w:val="255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3.30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 </w:t>
            </w:r>
          </w:p>
        </w:tc>
        <w:tc>
          <w:tcPr>
            <w:tcW w:w="4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proofErr w:type="spellStart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Puskardāns</w:t>
            </w:r>
            <w:proofErr w:type="spellEnd"/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proofErr w:type="spellStart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gb</w:t>
            </w:r>
            <w:proofErr w:type="spellEnd"/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b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b/>
                <w:sz w:val="20"/>
                <w:lang w:eastAsia="lv-LV"/>
              </w:rPr>
              <w:t>32,34</w:t>
            </w:r>
          </w:p>
        </w:tc>
      </w:tr>
      <w:tr w:rsidR="00803828" w:rsidRPr="00803828" w:rsidTr="002F6335">
        <w:trPr>
          <w:trHeight w:val="255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3.38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 </w:t>
            </w:r>
          </w:p>
        </w:tc>
        <w:tc>
          <w:tcPr>
            <w:tcW w:w="427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Spaile k-</w:t>
            </w:r>
            <w:proofErr w:type="spellStart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tvada</w:t>
            </w:r>
            <w:proofErr w:type="spellEnd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 xml:space="preserve"> </w:t>
            </w:r>
            <w:proofErr w:type="spellStart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sav</w:t>
            </w:r>
            <w:proofErr w:type="spellEnd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. B12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sz w:val="20"/>
                <w:lang w:eastAsia="lv-LV"/>
              </w:rPr>
            </w:pPr>
            <w:proofErr w:type="spellStart"/>
            <w:r w:rsidRPr="00803828">
              <w:rPr>
                <w:rFonts w:ascii="Times New Roman" w:hAnsi="Times New Roman" w:cs="Times New Roman"/>
                <w:sz w:val="20"/>
                <w:lang w:eastAsia="lv-LV"/>
              </w:rPr>
              <w:t>gb</w:t>
            </w:r>
            <w:proofErr w:type="spellEnd"/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828" w:rsidRPr="00803828" w:rsidRDefault="00803828" w:rsidP="00803828">
            <w:pPr>
              <w:jc w:val="both"/>
              <w:rPr>
                <w:rFonts w:ascii="Times New Roman" w:hAnsi="Times New Roman" w:cs="Times New Roman"/>
                <w:b/>
                <w:sz w:val="20"/>
                <w:lang w:eastAsia="lv-LV"/>
              </w:rPr>
            </w:pPr>
            <w:r w:rsidRPr="00803828">
              <w:rPr>
                <w:rFonts w:ascii="Times New Roman" w:hAnsi="Times New Roman" w:cs="Times New Roman"/>
                <w:b/>
                <w:sz w:val="20"/>
                <w:lang w:eastAsia="lv-LV"/>
              </w:rPr>
              <w:t>3,70</w:t>
            </w:r>
          </w:p>
        </w:tc>
      </w:tr>
    </w:tbl>
    <w:p w:rsidR="00803828" w:rsidRPr="00803828" w:rsidRDefault="00803828" w:rsidP="00803828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03828" w:rsidRPr="00803828" w:rsidRDefault="00803828" w:rsidP="008038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3828" w:rsidRPr="00803828" w:rsidRDefault="00803828" w:rsidP="0080382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803828" w:rsidRPr="00803828" w:rsidRDefault="00803828" w:rsidP="0080382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803828" w:rsidRPr="00803828" w:rsidRDefault="00803828" w:rsidP="00803828">
      <w:pPr>
        <w:jc w:val="both"/>
        <w:rPr>
          <w:rFonts w:ascii="Times New Roman" w:hAnsi="Times New Roman" w:cs="Times New Roman"/>
        </w:rPr>
      </w:pPr>
      <w:r w:rsidRPr="00803828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2.  jautājumu</w:t>
      </w:r>
    </w:p>
    <w:p w:rsidR="00803828" w:rsidRPr="00803828" w:rsidRDefault="00803828" w:rsidP="00803828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:rsidR="00803828" w:rsidRPr="00803828" w:rsidRDefault="00803828" w:rsidP="00803828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803828">
        <w:rPr>
          <w:rFonts w:ascii="Times New Roman" w:hAnsi="Times New Roman" w:cs="Times New Roman"/>
          <w:lang w:val="en-GB"/>
        </w:rPr>
        <w:t>Daturaprēķinā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šīm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ailēm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nebija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uzlikta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precīzija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līdz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vienam</w:t>
      </w:r>
      <w:proofErr w:type="spellEnd"/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veselam</w:t>
      </w:r>
      <w:proofErr w:type="spellEnd"/>
      <w:r w:rsidRPr="00803828">
        <w:rPr>
          <w:rFonts w:ascii="Times New Roman" w:hAnsi="Times New Roman" w:cs="Times New Roman"/>
          <w:lang w:val="en-GB"/>
        </w:rPr>
        <w:t>.</w:t>
      </w:r>
      <w:proofErr w:type="gramEnd"/>
    </w:p>
    <w:p w:rsidR="00803828" w:rsidRPr="00803828" w:rsidRDefault="00803828" w:rsidP="00803828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  <w:r w:rsidRPr="0080382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03828">
        <w:rPr>
          <w:rFonts w:ascii="Times New Roman" w:hAnsi="Times New Roman" w:cs="Times New Roman"/>
          <w:lang w:val="en-GB"/>
        </w:rPr>
        <w:t>Jābūt</w:t>
      </w:r>
      <w:proofErr w:type="spellEnd"/>
      <w:r w:rsidRPr="00803828">
        <w:rPr>
          <w:rFonts w:ascii="Times New Roman" w:hAnsi="Times New Roman" w:cs="Times New Roman"/>
          <w:lang w:val="en-GB"/>
        </w:rPr>
        <w:t>:</w:t>
      </w:r>
    </w:p>
    <w:tbl>
      <w:tblPr>
        <w:tblW w:w="757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3764"/>
      </w:tblGrid>
      <w:tr w:rsidR="00803828" w:rsidRPr="00803828" w:rsidTr="002F633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28" w:rsidRPr="00803828" w:rsidRDefault="00803828" w:rsidP="008038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03828">
              <w:rPr>
                <w:rFonts w:ascii="Times New Roman" w:hAnsi="Times New Roman" w:cs="Times New Roman"/>
                <w:lang w:val="en-GB"/>
              </w:rPr>
              <w:t>3.28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28" w:rsidRPr="00803828" w:rsidRDefault="00803828" w:rsidP="008038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03828">
              <w:rPr>
                <w:rFonts w:ascii="Times New Roman" w:hAnsi="Times New Roman" w:cs="Times New Roman"/>
                <w:lang w:val="en-GB"/>
              </w:rPr>
              <w:t>16</w:t>
            </w:r>
          </w:p>
        </w:tc>
      </w:tr>
      <w:tr w:rsidR="00803828" w:rsidRPr="00803828" w:rsidTr="002F633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28" w:rsidRPr="00803828" w:rsidRDefault="00803828" w:rsidP="008038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03828">
              <w:rPr>
                <w:rFonts w:ascii="Times New Roman" w:hAnsi="Times New Roman" w:cs="Times New Roman"/>
                <w:lang w:val="en-GB"/>
              </w:rPr>
              <w:t>3.30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28" w:rsidRPr="00803828" w:rsidRDefault="00803828" w:rsidP="008038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03828">
              <w:rPr>
                <w:rFonts w:ascii="Times New Roman" w:hAnsi="Times New Roman" w:cs="Times New Roman"/>
                <w:lang w:val="en-GB"/>
              </w:rPr>
              <w:t>32</w:t>
            </w:r>
          </w:p>
        </w:tc>
      </w:tr>
      <w:tr w:rsidR="00803828" w:rsidRPr="00803828" w:rsidTr="002F6335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28" w:rsidRPr="00803828" w:rsidRDefault="00803828" w:rsidP="008038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03828">
              <w:rPr>
                <w:rFonts w:ascii="Times New Roman" w:hAnsi="Times New Roman" w:cs="Times New Roman"/>
                <w:lang w:val="en-GB"/>
              </w:rPr>
              <w:t>3.38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828" w:rsidRPr="00803828" w:rsidRDefault="00803828" w:rsidP="008038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803828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</w:tbl>
    <w:p w:rsidR="00803828" w:rsidRPr="00803828" w:rsidRDefault="00803828" w:rsidP="00803828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:rsidR="00803828" w:rsidRPr="00803828" w:rsidRDefault="00803828" w:rsidP="00803828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:rsidR="00A437D9" w:rsidRDefault="00BD7BAA" w:rsidP="00803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Iepirkumu komisija</w:t>
      </w:r>
    </w:p>
    <w:p w:rsidR="00BD7BAA" w:rsidRPr="00803828" w:rsidRDefault="00BD7BAA" w:rsidP="008038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BAA" w:rsidRPr="00803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C31"/>
    <w:multiLevelType w:val="hybridMultilevel"/>
    <w:tmpl w:val="7084EEF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A"/>
    <w:rsid w:val="00062BB8"/>
    <w:rsid w:val="00272200"/>
    <w:rsid w:val="00803828"/>
    <w:rsid w:val="00A437D9"/>
    <w:rsid w:val="00A75238"/>
    <w:rsid w:val="00B45B6E"/>
    <w:rsid w:val="00BD7BAA"/>
    <w:rsid w:val="00C1387A"/>
    <w:rsid w:val="00D154EA"/>
    <w:rsid w:val="00F51F61"/>
    <w:rsid w:val="00F94A83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752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2BB8"/>
  </w:style>
  <w:style w:type="paragraph" w:styleId="Header">
    <w:name w:val="header"/>
    <w:next w:val="Heading1"/>
    <w:link w:val="HeaderChar"/>
    <w:rsid w:val="00F94A8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character" w:customStyle="1" w:styleId="HeaderChar">
    <w:name w:val="Header Char"/>
    <w:basedOn w:val="DefaultParagraphFont"/>
    <w:link w:val="Header"/>
    <w:rsid w:val="00F94A8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Body">
    <w:name w:val="Body"/>
    <w:rsid w:val="00F94A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F94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03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752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2BB8"/>
  </w:style>
  <w:style w:type="paragraph" w:styleId="Header">
    <w:name w:val="header"/>
    <w:next w:val="Heading1"/>
    <w:link w:val="HeaderChar"/>
    <w:rsid w:val="00F94A8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character" w:customStyle="1" w:styleId="HeaderChar">
    <w:name w:val="Header Char"/>
    <w:basedOn w:val="DefaultParagraphFont"/>
    <w:link w:val="Header"/>
    <w:rsid w:val="00F94A8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Body">
    <w:name w:val="Body"/>
    <w:rsid w:val="00F94A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F94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0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line.cz/cat1.php?id=275109&amp;g=&amp;from=minicat&amp;search=minor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Kaire</dc:creator>
  <cp:lastModifiedBy>Tatjana Kraševska</cp:lastModifiedBy>
  <cp:revision>7</cp:revision>
  <cp:lastPrinted>2016-11-07T16:24:00Z</cp:lastPrinted>
  <dcterms:created xsi:type="dcterms:W3CDTF">2016-11-08T07:30:00Z</dcterms:created>
  <dcterms:modified xsi:type="dcterms:W3CDTF">2016-11-08T13:00:00Z</dcterms:modified>
</cp:coreProperties>
</file>